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Коновалов Александр Петрович, заместитель начальника управления, Управление стратегического развития; начальник отдела, Отдел региональной политики; начальник отдела, Управление стратегического развития,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  на основе анализа исходных данных, последующего  обоснования  принимаемых проектных решений, формирование 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 изучение опыта применения информационных и программных средств, применяемых в  разработке и управлении проектной деятельностью;</w:t>
      </w:r>
    </w:p>
    <w:p>
      <w:pPr/>
      <w:r>
        <w:rPr/>
        <w:t xml:space="preserve">– 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 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 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 : стационарная. Проводится в структурных подразделениях ПетрГУ: учебно-методическое управление ПетрГУ, Центр адаптивной физической культуры ПетрГУ, кафедры Института физической культуры, спорта и туризма.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
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3.3. Предвидит результаты (последствия) личных действий и планирует последовательность шагов для достижения заданного результата.
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проектную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и функции управления проектами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Риски и контроль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методов  проектной деятельности.. Проектных подходов . Причин неудач и успеха проекта. Анализ современной методологии управления проектами. Каскадный подход и гибкие методы.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этапов проектной деятельности. Текущее состояние и мировые тенденции в области управления проектной деятельности. Международные стандарты проектной деятельности. Сравнительный анализ подходов IPMA, PMI, PRINCE-2.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контроль календарного плана проекта. Моделирование проекта в Microsoft Project Professional.  Оптимизация календарного плана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расписанием проекта. Организационное планирование и логистика проекта. Организационная структура проекта. Управление персоналом проекта. Управление коммуникациями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Аналитические возможности Microsoft Project Professional  Актуализация, контроль и завершение проекта Управление рисками проекта  Коллективная работа над проектом. Управление портфелем проектов и пулом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по индивидуальной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Ориентация практики ориентирована как на получение знаний по основам проектной деятельности, управления проектами, так и на развитие компетенций  бакалавров в области физической, адаптивной физической культуры и адаптивного спорта. Направленность практики предопределяет использование разнообразных методов и технологий : проектный метод , метод диалога на равных (встречи с представителями образовательных и физкультурно-спортивных организаций, организаций здравоохранения),  анализ конкретных ситуаций из практики российских и зарубежных программ по реализации адаптивной физической культуры и спорта.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Прохождение проектно-технологической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>
      <w:pPr/>
      <w:r>
        <w:rPr/>
        <w:t xml:space="preserve">Перед началом проектно-технологической практики проводится организационное собрание, на котором обучающиеся знакомятся с ее целями, задачами, содержанием и организационными формами.</w:t>
      </w:r>
    </w:p>
    <w:p>
      <w:pPr/>
      <w:r>
        <w:rPr/>
        <w:t xml:space="preserve">Содержание работ в рамках проектно-технологической практики определяется темой будущей ВКР и определяется в ходе консультаций с руководителем.</w:t>
      </w:r>
    </w:p>
    <w:p>
      <w:pPr/>
      <w:r>
        <w:rPr/>
        <w:t xml:space="preserve">Обучающимся предлагается широкий спектр тем, актуальных для современного этапа развития  адаптивной физической культуры и спорта. По выбранной теме следует изучить соответствующую литературу, опыт проведенных исследований на кафедре, разработать или предложить новые подходы, провести их оценку.</w:t>
      </w:r>
    </w:p>
    <w:p>
      <w:pPr/>
      <w:r>
        <w:rPr/>
        <w:t xml:space="preserve">Перечень тем на проектно-технологическую практику может быть дополнен темой, предложенной обучающимся. Для утверждения самостоятельно выбранной темы обучающийся должен мотивировать ее выбор и представить примерный план написания отчета.</w:t>
      </w:r>
    </w:p>
    <w:p>
      <w:pPr/>
      <w:r>
        <w:rPr/>
        <w:t xml:space="preserve">В течение проектно-технологической практики обучающийся оформляет отчет установленного образца, который в конце практики сдается руководителю практики в распечатанном и сброшюрованном виде для проверки.</w:t>
      </w:r>
    </w:p>
    <w:p>
      <w:pPr/>
      <w:r>
        <w:rPr/>
        <w:t xml:space="preserve">Проектно-технологическая практика считается завершенной при условии выполнения всех требований программы практики. Текущий контроль предполагает оценку каждого этапа производственной практики студентов.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Тематика проекта определяется темой курсовой или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проводится в формате представления стартапов, или разработанных проектных решений,  тематика формируется индивидуально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Режим 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http://window.edu.ru/resource/244/29244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UML» СПб.: ИТМО. 2007— Электронное издание. Режим 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UML" СПб.: ИТМО. 2007 — Электронное издание. Режим доступа: http://window.edu.ru/resource/386/60386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htpp://www.informika/ru/windws/magaz/higher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htpp://www.gupbu.ru/catalog/kat-0.htm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htpp://www.dvgu.ru/umu/didjest/spisjour/htm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htpp://www.mon.gov.ru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7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59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6B0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2026-04-20T22:38:42+03:00</dcterms:created>
  <dcterms:modified xsi:type="dcterms:W3CDTF">2026-04-20T22:38:42+03:00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