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многоцелевое использование лесов»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№706 (с изменениями от 27.02.2023 г. №208, от 19.07.2022 №662, от 08.02.2021 №83, от 26.11.2020 №1456) и учебным планом по направлению подготовки бакалавриата 35.03.01 Лесное дело  (профиль «Рациональное многоцелевое использование лесов»).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современные технологии в сфере своей профессиональной деятельности;</w:t>
            </w:r>
          </w:p>
          <w:p/>
          <w:p>
            <w:pPr/>
            <w:r>
              <w:rPr/>
              <w:t xml:space="preserve">ОПК-4.2. Уметь реализовывать  современные технологии и обосновывать их практическое применение в в сфере своей профессиональной деятельности;</w:t>
            </w:r>
          </w:p>
          <w:p/>
          <w:p>
            <w:pPr/>
            <w:r>
              <w:rPr/>
              <w:t xml:space="preserve">ОПК-4.3. Владеть навыками реализации современных технологий в сфере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Экзамен.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линейного программирования.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задач линейного программирования. Геометрическая интерпретация задач линейного  программирования.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Безусловная однопараметрическая оптимизация. Унимодальность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полиномиальной аппроксимации. Метод Пауэлла. 2.3.	Методы с использованием производных.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целевой функции. Критерии свертывания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задач линейного программирования. Геометрическая интерпретация задач линейного  программирования.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Безусловная однопараметрическая оптимизация. Унимодальность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1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1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1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1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1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1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1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1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1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1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1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1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1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1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1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1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1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1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1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1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час) и самостоятельную работу студента (94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экзамена.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 третьего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 третьего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третьего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экзамену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2014.3.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 в проффесиональной деятельности» для обучающихся по направлению подготовки бакалавриата 35.03.10 Лесное дело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компьютерный класс для проведения лабораторных работ (расположенный на пр. Ленина 29, ауд. 204), оснащен рабочими местами для обучающихся и преподавателя, доской, а также специальным оборудованием и приборами для проведения лабораторных и практических занятий.</w:t>
      </w:r>
    </w:p>
    <w:p>
      <w:pPr/>
      <w:r>
        <w:rPr/>
        <w:t xml:space="preserve">Номер лицензии программы MathCad:</w:t>
      </w:r>
    </w:p>
    <w:p>
      <w:pPr/>
      <w:r>
        <w:rPr/>
        <w:t xml:space="preserve">  Дата выдачи 10.01.2008,  лиц #401888 ( Service Contract Number 8A1451909, 8A1365719) серийный номер   SE14RYMMEV0002-FLEX-ACAD.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AD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587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2026-04-21T02:09:27+03:00</dcterms:created>
  <dcterms:modified xsi:type="dcterms:W3CDTF">2026-04-21T02:09:27+03:00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