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баскетболе: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волейболе: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мини-футболе: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и передача мяча, остановки, повороты, 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мини-футбола.  Основные понятия. 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мини-футболу. Структура обучения спортивным играм (мини-футболу). Закономерности формирования навыков в мини-футболе. 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ведения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игра (соревнования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перехвату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выбиванию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накрыванию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без мяча: выход на свободное место с целью освобождения от опеки защитника и получения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с мячом: выбор способа ловли, передачи, броска, ведения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двух игроков &amp;quot;передал мяч и выходи&amp;quot;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трех игроков &amp;quot;треугольник&amp;quot;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защите: выбор места по отношению к игроку без мяча и с мячом; противодействие выходу на свободное место для получения мяча; противодействия при броске мяча в корзину; выбор момента для применения вырывания, выбивания, перехвата мяча.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защите: взаимодействие двух игроков &amp;quot;подстраховка&amp;quot;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личная система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зонная система защиты 2-1-2; 2-3.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технической и тактической подготовки в процессе обучения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защите: Выбор места для: приема подачи, при  блокировании, при страховке. Определение времени для прыжка при блокировании.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защите: взаимодействие игроков передней и задней линии при блокировании и страховке.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углом вперед (игрок зоны 6 на страховке в зоне нападения).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волейболу (матч, набор очка, жеребьевка, игра мячом, игра у сетки, правило выполнения подачи).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летящего мяча (подошвой; внутренней стороной стопы; внутренней, средней, внешней частью подъема; бедром; грудью).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&amp;quot;уходом&amp;quot;) в мини-футболе:&amp;quot;уход&amp;quot; выпадом, &amp;quot;уход&amp;quot; с переносом ноги через мяч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лействиям (финтам) в мини-футболе (финт &amp;quot;ударом&amp;quot; по мячу ногой, финт &amp;quot;ударом&amp;quot; по мячу головой).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в мини-футболе: финт &amp;quot;остановкой&amp;quot; мяча ногой, финт &amp;quot;остановкой&amp;quot; мяча грудью и головой..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в нападении в мини-футболу. Системы игры. Тактические комбинации и отдельные моменты игры (при начальном ударе, при свободном и штрафном ударах, при угловом ударе)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Способы  организации  защитных  действий  против  двух,  трех 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 &amp;amp;quot;стенка&amp;amp;quot;.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перемещениям игрока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игры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 и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волейболу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обучения техническим элементам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силовых способностей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скоростно-силовых качеств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скорости игровых действий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мини-футболу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мини-футболу..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различных форм занятий по дисциплине «Теория и методика 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 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контрольные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Контрольная работа</w:t>
      </w:r>
    </w:p>
    <w:p/>
    <w:p>
      <w:pPr/>
      <w:r>
        <w:rPr/>
        <w:t xml:space="preserve">контрольные нормативы по технической подготовке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«Теория и методика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 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спортивных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 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 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«Теория и методика спортивных игр» необходимо использовать современные образовательные  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«Теория и методика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Проити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  для различных возрастных групп, 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 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Бабушкин, В. З. Подготовка юных баскетболистов / В. З. Бабушкин. - Киев : Здоров'я, 1985. - 141, [3]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A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10D4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2026-04-21T02:07:21+03:00</dcterms:created>
  <dcterms:modified xsi:type="dcterms:W3CDTF">2026-04-21T02:07:21+03:00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