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right"/><w:ind w:left="0" w:right="0" w:firstLine="0" w:hanging="0"/><w:spacing w:before="0" w:after="0"/></w:pPr><w:r><w:rPr><w:sz w:val="24"/><w:szCs w:val="24"/><w:i w:val="1"/><w:iCs w:val="1"/></w:rPr><w:t xml:space="preserve">Годы обучения по образовательной программе 2020-2024</w:t></w: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Петрозаводский государственный университет</w:t></w: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</w:t></w: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left"/><w:ind w:left="5760" w:right="0" w:firstLine="0" w:hanging="0"/><w:spacing w:before="0" w:after="0"/></w:pPr><w:r><w:rPr><w:sz w:val="28"/><w:szCs w:val="28"/></w:rPr><w:t xml:space="preserve">УТВЕРЖДАЮ</w:t></w:r></w:p><w:p><w:pPr><w:spacing w:before="0" w:after="0"/></w:pPr><w:pPr><w:rPr><w:sz w:val="24"/><w:szCs w:val="24"/></w:rPr></w:pPr></w:p><w:p><w:pPr><w:jc w:val="left"/><w:ind w:left="5760" w:right="0" w:firstLine="0" w:hanging="0"/><w:spacing w:before="0" w:after="0"/></w:pPr><w:r><w:rPr><w:sz w:val="28"/><w:szCs w:val="28"/></w:rPr><w:t xml:space="preserve">Проректор по учебной работе</w:t></w:r></w:p><w:p><w:pPr><w:jc w:val="left"/><w:ind w:left="5760" w:right="0" w:firstLine="0" w:hanging="0"/><w:spacing w:before="0" w:after="0"/></w:pPr><w:r><w:rPr><w:sz w:val="28"/><w:szCs w:val="28"/></w:rPr><w:t xml:space="preserve">______________ К.Г. Тарасов</w:t></w:r></w:p><w:p><w:pPr><w:jc w:val="left"/><w:ind w:left="5760" w:right="0" w:firstLine="0" w:hanging="0"/><w:spacing w:before="0" w:after="0"/></w:pPr><w:r><w:rPr><w:sz w:val="28"/><w:szCs w:val="28"/></w:rPr><w:t xml:space="preserve">«____» ________ 2020 г.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w:b w:val="1"/><w:bCs w:val="1"/></w:rPr><w:t xml:space="preserve">РАБОЧАЯ ПРОГРАММА ДИСЦИПЛИНЫ</w:t></w:r></w:p><w:p><w:pPr><w:jc w:val="center"/><w:ind w:left="0" w:right="0" w:firstLine="0" w:hanging="0"/><w:spacing w:before="0" w:after="0"/></w:pPr><w:r><w:rPr><w:sz w:val="28"/><w:szCs w:val="28"/><w:b w:val="1"/><w:bCs w:val="1"/></w:rPr><w:t xml:space="preserve">ПОЛИТИЧЕСКИЙ МАРКЕТИНГ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Направление подготовки бакалавриата</w:t></w:r></w:p><w:p><w:pPr><w:jc w:val="center"/><w:ind w:left="0" w:right="0" w:firstLine="0" w:hanging="0"/><w:spacing w:before="0" w:after="0"/></w:pPr><w:r><w:rPr><w:sz w:val="28"/><w:szCs w:val="28"/></w:rPr><w:t xml:space="preserve">41.03.04 Политология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Форма обучения очная</w:t></w:r></w:p><w:p><w:pPr><w:spacing w:before="0" w:after="0"/></w:pPr><w:pPr><w:rPr><w:sz w:val="28"/><w:szCs w:val="28"/></w:rPr></w:pPr></w:p><w:p><w:pPr><w:spacing w:before="0" w:after="0"/></w:pPr><w:pPr><w:rPr><w:sz w:val="28"/><w:szCs w:val="28"/></w:rPr></w:pPr></w:p><w:p><w:pPr><w:jc w:val="center"/><w:ind w:left="0" w:right="0" w:firstLine="0" w:hanging="0"/><w:spacing w:before="0" w:after="0"/></w:pPr><w:r><w:rPr><w:sz w:val="28"/><w:szCs w:val="28"/></w:rPr><w:t xml:space="preserve">Петрозаводск</w:t></w:r></w:p><w:p><w:pPr><w:jc w:val="center"/><w:ind w:left="0" w:right="0" w:firstLine="0" w:hanging="0"/><w:spacing w:before="0" w:after="0"/></w:pPr><w:r><w:rPr><w:sz w:val="24"/><w:szCs w:val="24"/></w:rPr><w:t xml:space="preserve">2020</w:t></w:r></w:p><w:p><w:r><w:br w:type="page"/></w:r></w:p><w:p><w:pPr><w:jc w:val="both"/><w:spacing w:before="0" w:after="0"/></w:pPr><w:r><w:rPr><w:sz w:val="24"/><w:szCs w:val="24"/></w:rPr>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</w:r></w:p><w:p><w:pPr><w:spacing w:before="0" w:after="0"/></w:pPr><w:pPr><w:rPr><w:sz w:val="24"/><w:szCs w:val="24"/></w:rPr></w:pPr></w:p><w:p><w:pPr><w:jc w:val="lowKashida"/></w:pPr><w:r><w:rPr><w:sz w:val="24"/><w:szCs w:val="24"/></w:rPr><w:t xml:space="preserve">Разработчик(и):</w:t></w:r></w:p><w:p><w:pPr><w:spacing w:before="0" w:after="0"/></w:pPr><w:r><w:rPr><w:sz w:val="24"/><w:szCs w:val="24"/></w:rPr><w:t xml:space="preserve">Ильин Александр Юрьевич, доцент, кафедра политических и социальных наук, кандидат философских наук, доцент.</w:t></w:r></w:p><w:p><w:pPr><w:jc w:val="right"/><w:ind w:left="0" w:right="0" w:firstLine="0" w:hanging="0"/></w:pPr><w:r><w:rPr><w:sz w:val="20"/><w:szCs w:val="20"/><w:i w:val="1"/><w:iCs w:val="1"/></w:rPr><w:t xml:space="preserve">(подпись)	</w:t></w:r></w:p><w:p><w:pPr><w:spacing w:before="0" w:after="0"/></w:pPr><w:r><w:rPr><w:sz w:val="24"/><w:szCs w:val="24"/></w:rPr><w:t xml:space="preserve">Эксперт(ы):</w:t></w:r></w:p><w:p><w:pPr><w:jc w:val="lowKashida"/></w:pPr><w:r><w:rPr><w:sz w:val="24"/><w:szCs w:val="24"/></w:rPr><w:t xml:space="preserve">_______________________, _____________________________________________________</w:t></w:r></w:p><w:p><w:pPr><w:spacing w:before="0" w:after="0"/></w:pPr><w:r><w:rPr><w:sz w:val="20"/><w:szCs w:val="20"/><w:i w:val="1"/><w:iCs w:val="1"/></w:rPr><w:t xml:space="preserve">(ФИО полностью) 	 		 (должность, место работы, ученая степень, звание)	</w:t></w:r></w:p><w:p><w:pPr><w:spacing w:before="0" w:after="0"/></w:pPr><w:pPr><w:rPr><w:sz w:val="24"/><w:szCs w:val="24"/></w:rPr></w:pPr></w:p><w:p><w:pPr><w:jc w:val="lowKashida"/><w:spacing w:line="240" w:lineRule="auto"/></w:pPr><w:r><w:rPr><w:sz w:val="24"/><w:szCs w:val="24"/></w:rPr><w:t xml:space="preserve">_____________________________________________________________________________</w:t></w:r></w:p><w:p><w:pPr><w:spacing w:before="0" w:after="0"/></w:pPr><w:r><w:rPr><w:sz w:val="20"/><w:szCs w:val="20"/><w:i w:val="1"/><w:iCs w:val="1"/></w:rPr><w:t xml:space="preserve">						(подпись)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Рабочая программа дисциплины рассмотрена и одобрена на заседании кафедры</w:t></w:r></w:p><w:p><w:pPr><w:spacing w:before="0" w:after="0"/></w:pPr><w:pPr><w:rPr><w:sz w:val="24"/><w:szCs w:val="24"/></w:rPr></w:pPr></w:p><w:p><w:pPr><w:jc w:val="lowKashida"/><w:spacing w:line="240" w:lineRule="auto"/></w:pPr><w:r><w:rPr><w:sz w:val="24"/><w:szCs w:val="24"/></w:rPr><w:t xml:space="preserve">_____________________________________________________________________________</w:t></w:r></w:p><w:p><w:pPr><w:spacing w:before="0" w:after="0"/></w:pPr><w:r><w:rPr><w:sz w:val="20"/><w:szCs w:val="20"/><w:i w:val="1"/><w:iCs w:val="1"/></w:rPr><w:t xml:space="preserve">			(наименование кафедры, разработавшей рабочую программу)	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Протокол № _________ от «______» ___________ 201__ г.	</w:t></w:r></w:p><w:p><w:pPr><w:spacing w:before="0" w:after="0"/></w:pPr><w:pPr><w:rPr><w:sz w:val="24"/><w:szCs w:val="24"/></w:rPr></w:pPr></w:p><w:p><w:pPr><w:jc w:val="lowKashida"/></w:pPr><w:r><w:rPr><w:sz w:val="24"/><w:szCs w:val="24"/></w:rPr><w:t xml:space="preserve">Заведующий кафедрой _____________________________ (ФИО, ученая степень, звание)</w:t></w:r></w:p><w:p><w:pPr><w:spacing w:before="0" w:after="0"/></w:pPr><w:r><w:rPr><w:sz w:val="20"/><w:szCs w:val="20"/><w:i w:val="1"/><w:iCs w:val="1"/></w:rPr><w:t xml:space="preserve">						(подпись)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СОГЛАСОВАНО: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Рабочая программа дисциплины рассмотрена и утверждена на заседании учебно-</w:t></w:r></w:p><w:p><w:pPr><w:jc w:val="lowKashida"/></w:pPr><w:r><w:rPr><w:sz w:val="24"/><w:szCs w:val="24"/></w:rPr><w:t xml:space="preserve">методической комиссии института ______________________________________________</w:t></w:r></w:p><w:p><w:pPr><w:spacing w:before="0" w:after="0"/></w:pPr><w:r><w:rPr><w:sz w:val="20"/><w:szCs w:val="20"/><w:i w:val="1"/><w:iCs w:val="1"/></w:rPr><w:t xml:space="preserve">					     (название института, в котором преподается дисциплина)	</w:t></w:r></w:p><w:p><w:pPr><w:spacing w:before="0" w:after="0"/></w:pPr><w:r><w:rPr><w:sz w:val="24"/><w:szCs w:val="24"/></w:rPr><w:t xml:space="preserve">Протокол № _________ от «______» ___________ 201__ г.	</w:t></w:r></w:p><w:p><w:pPr><w:spacing w:before="0" w:after="0"/></w:pPr><w:pPr><w:rPr><w:sz w:val="24"/><w:szCs w:val="24"/></w:rPr></w:pPr></w:p><w:p><w:pPr><w:jc w:val="lowKashida"/></w:pPr><w:r><w:rPr><w:sz w:val="24"/><w:szCs w:val="24"/></w:rPr><w:t xml:space="preserve">Директор института _________________________________ (ФИО, ученая степень, звание)</w:t></w:r></w:p><w:p><w:pPr><w:spacing w:before="0" w:after="0"/></w:pPr><w:r><w:rPr><w:sz w:val="20"/><w:szCs w:val="20"/><w:i w:val="1"/><w:iCs w:val="1"/></w:rPr><w:t xml:space="preserve">						(подпись)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left"/><w:ind w:left="0" w:right="0" w:firstLine="0" w:hanging="0"/></w:pPr><w:r><w:rPr><w:sz w:val="24"/><w:szCs w:val="24"/></w:rPr><w:t xml:space="preserve">Начальник методического отдела</w:t></w:r></w:p><w:p><w:pPr><w:jc w:val="left"/><w:ind w:left="0" w:right="0" w:firstLine="0" w:hanging="0"/></w:pPr><w:r><w:rPr><w:sz w:val="24"/><w:szCs w:val="24"/></w:rPr><w:t xml:space="preserve">учебно-методического управления ПетрГУ _________________________ И.В. Маханькова</w:t></w:r></w:p><w:p><w:r><w:br w:type="page"/></w:r></w:p><w:p><w:pPr><w:sectPr><w:pgSz w:orient="portrait" w:w="11905.511811023622" w:h="16837.79527559055"/><w:pgMar w:top="1133.8582677165352" w:right="850.3937007874015" w:bottom="1440" w:left="1700.787401574803" w:header="720" w:footer="720" w:gutter="0"/><w:cols w:num="1" w:space="720"/></w:sectPr></w:pPr></w:p><w:p><w:pPr><w:jc w:val="both"/><w:ind w:left="0" w:right="0" w:firstLine="570" w:hanging="0"/><w:spacing w:before="240" w:after="240"/></w:pPr><w:r><w:rPr><w:b w:val="1"/><w:bCs w:val="1"/></w:rPr>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</w:r></w:p><w:p><w:pPr><w:jc w:val="numTab"/><w:ind w:left="0" w:right="0" w:firstLine="0" w:hanging="0"/></w:pPr><w:r><w:rPr/><w:t xml:space="preserve">Компетенции обучающегося, формируемые в результате освоения дисциплины:</w:t></w:r></w:p><w:tbl><w:tblGrid><w:gridCol w:w="2500" w:type="dxa"/><w:gridCol w:w="4000" w:type="dxa"/><w:gridCol w:w="31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/><w:tc><w:tcPr><w:tcW w:w="2500" w:type="dxa"/><w:noWrap/></w:tcPr><w:p><w:pPr><w:jc w:val="center"/><w:ind w:left="0" w:right="0" w:firstLine="0" w:hanging="0"/></w:pPr><w:r><w:rPr><w:b w:val="1"/><w:bCs w:val="1"/></w:rPr><w:t xml:space="preserve">Код компетенции. Этап формирования компетенции</w:t></w:r></w:p></w:tc><w:tc><w:tcPr><w:tcW w:w="4000" w:type="dxa"/><w:noWrap/></w:tcPr><w:p><w:pPr><w:jc w:val="center"/><w:ind w:left="0" w:right="0" w:firstLine="0" w:hanging="0"/></w:pPr><w:r><w:rPr><w:b w:val="1"/><w:bCs w:val="1"/></w:rPr><w:t xml:space="preserve">Формулировка компетенции</w:t></w:r></w:p></w:tc><w:tc><w:tcPr><w:tcW w:w="3100" w:type="dxa"/><w:noWrap/></w:tcPr><w:p><w:pPr><w:jc w:val="center"/><w:ind w:left="0" w:right="0" w:firstLine="0" w:hanging="0"/></w:pPr><w:r><w:rPr><w:b w:val="1"/><w:bCs w:val="1"/></w:rPr><w:t xml:space="preserve">Планируемые результаты обучения</w:t></w:r><w:br/><w:r><w:rPr/><w:t xml:space="preserve">(индикаторы достижения компетенции)</w:t></w:r></w:p></w:tc></w:tr><w:tr><w:trPr/><w:tc><w:tcPr><w:tcW w:w="2500" w:type="dxa"/><w:noWrap/></w:tcPr><w:p><w:pPr><w:jc w:val="numTab"/><w:ind w:left="0" w:right="0" w:firstLine="0" w:hanging="0"/></w:pPr><w:r><w:rPr/><w:t xml:space="preserve">УК-2
Основной</w:t></w:r></w:p></w:tc><w:tc><w:tcPr><w:tcW w:w="4000" w:type="dxa"/><w:noWrap/></w:tcPr><w:p><w:pPr><w:jc w:val="numTab"/><w:ind w:left="0" w:right="0" w:firstLine="0" w:hanging="0"/></w:pPr><w:r><w:rPr/>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</w:r></w:p></w:tc><w:tc><w:tcPr><w:tcW w:w="3100" w:type="dxa"/><w:noWrap/></w:tcPr><w:p><w:pPr/><w:r><w:rPr/>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</w:r></w:p><w:p/><w:p><w:pPr/><w:r><w:rPr/>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</w:r></w:p><w:p/><w:p><w:pPr/><w:r><w:rPr/><w:t xml:space="preserve">УК-2.3. Публично представляет результаты решения конкретной задачи.</w:t></w:r></w:p></w:tc></w:tr><w:tr><w:trPr/><w:tc><w:tcPr><w:tcW w:w="2500" w:type="dxa"/><w:noWrap/></w:tcPr><w:p><w:pPr><w:jc w:val="numTab"/><w:ind w:left="0" w:right="0" w:firstLine="0" w:hanging="0"/></w:pPr><w:r><w:rPr/><w:t xml:space="preserve">ПК-4
Основной</w:t></w:r></w:p></w:tc><w:tc><w:tcPr><w:tcW w:w="4000" w:type="dxa"/><w:noWrap/></w:tcPr><w:p><w:pPr><w:jc w:val="numTab"/><w:ind w:left="0" w:right="0" w:firstLine="0" w:hanging="0"/></w:pPr><w:r><w:rPr/><w:t xml:space="preserve">Способность участвовать в информационно-коммуникативных процессах разного уровня, включая проведение информационных кампаний</w:t></w:r></w:p></w:tc><w:tc><w:tcPr><w:tcW w:w="3100" w:type="dxa"/><w:noWrap/></w:tcPr><w:p><w:pPr/><w:r><w:rPr/><w:t xml:space="preserve">ПК-4.1. знает особенности информационно-коммуникативных процессов в политической сфере</w:t></w:r></w:p><w:p/><w:p><w:pPr/><w:r><w:rPr/><w:t xml:space="preserve">ПК-4.2. умеет осуществлять взаимодействие с органами власти разных уровней, а также со средствами массовой информации</w:t></w:r></w:p><w:p/><w:p><w:pPr/><w:r><w:rPr/><w:t xml:space="preserve">ПК-4.3. владеет навыками разработки информационных кампаний для достижения поставленных целей</w:t></w:r></w:p></w:tc></w:tr><w:tr><w:trPr/><w:tc><w:tcPr><w:tcW w:w="2500" w:type="dxa"/><w:noWrap/></w:tcPr><w:p><w:pPr><w:jc w:val="numTab"/><w:ind w:left="0" w:right="0" w:firstLine="0" w:hanging="0"/></w:pPr><w:r><w:rPr/><w:t xml:space="preserve">ПК-3
Основной</w:t></w:r></w:p></w:tc><w:tc><w:tcPr><w:tcW w:w="4000" w:type="dxa"/><w:noWrap/></w:tcPr><w:p><w:pPr><w:jc w:val="numTab"/><w:ind w:left="0" w:right="0" w:firstLine="0" w:hanging="0"/></w:pPr><w:r><w:rPr/><w:t xml:space="preserve">Способность работать в рамках политологического (политического) проекта в качестве исполнителя или руководителя низшего звена</w:t></w:r></w:p></w:tc><w:tc><w:tcPr><w:tcW w:w="3100" w:type="dxa"/><w:noWrap/></w:tcPr><w:p><w:pPr/><w:r><w:rPr/><w:t xml:space="preserve">ПК-3.1. знает особенности политологических (политических) проектов, организационно-технические функции и вспомогательные задачи участников проекта, способы привлечения финансирования для реализации проекта</w:t></w:r></w:p><w:p/><w:p><w:pPr/><w:r><w:rPr/><w:t xml:space="preserve">ПК-3.2. умеет разрабатывать план реализации политологического (политического) проекта с последующей оценкой ожидаемого результата проекта и затрачиваемых ресурсов</w:t></w:r></w:p><w:p/><w:p><w:pPr/><w:r><w:rPr/><w:t xml:space="preserve">ПК-3.3. владеет навыками подготовки отчетной документации по итогам реализации проекта</w:t></w:r></w:p></w:tc></w:tr></w:tbl><w:p><w:pPr><w:jc w:val="both"/><w:ind w:left="0" w:right="0" w:firstLine="570" w:hanging="0"/><w:spacing w:before="240" w:after="240"/></w:pPr><w:r><w:rPr><w:b w:val="1"/><w:bCs w:val="1"/></w:rPr><w:t xml:space="preserve">2. Место дисциплины в структуре ОПОП бакалавриата и язык преподавания</w:t></w:r></w:p><w:p><w:pPr><w:jc w:val="both"/><w:ind w:left="0" w:right="0" w:firstLine="570" w:hanging="0"/><w:spacing w:before="0" w:after="0"/></w:pPr><w:r><w:rPr/><w:t xml:space="preserve">Дисциплина Политический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</w:r></w:p><w:p><w:pPr><w:jc w:val="both"/><w:ind w:left="0" w:right="0" w:firstLine="570" w:hanging="0"/><w:spacing w:before="0" w:after="0"/></w:pPr><w:r><w:rPr/><w:t xml:space="preserve">Согласно учебному плану дисциплина проводится в 5 семестре.</w:t></w:r></w:p><w:p><w:pPr><w:jc w:val="both"/><w:ind w:left="0" w:right="0" w:firstLine="570" w:hanging="0"/><w:spacing w:before="0" w:after="0"/></w:pPr><w:r><w:rPr/>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</w:r></w:p><w:p><w:pPr><w:jc w:val="both"/><w:ind w:left="0" w:right="0" w:firstLine="570" w:hanging="0"/><w:spacing w:before="0" w:after="0"/></w:pPr><w:r><w:rPr/><w:t xml:space="preserve">Язык преподавания – русский</w:t></w:r></w:p><w:p/><w:p><w:pPr><w:jc w:val="both"/><w:ind w:left="0" w:right="0" w:firstLine="570" w:hanging="0"/><w:spacing w:before="240" w:after="240"/></w:pPr><w:r><w:rPr><w:b w:val="1"/><w:bCs w:val="1"/></w:rPr><w:t xml:space="preserve">3. Виды учебной работы и тематическое содержание</w:t></w:r></w:p><w:p><w:pPr><w:jc w:val="numTab"/><w:ind w:left="0" w:right="0" w:firstLine="0" w:hanging="0"/></w:pPr><w:r><w:rPr/><w:t xml:space="preserve">Общая трудоемкость дисциплины составляет 2 зач. ед. или 72 ак. час.</w:t></w:r></w:p><w:p/><w:p><w:pPr><w:jc w:val="both"/><w:ind w:left="0" w:right="0" w:firstLine="570" w:hanging="0"/><w:spacing w:before="240" w:after="240"/></w:pPr><w:r><w:rPr><w:b w:val="1"/><w:bCs w:val="1"/></w:rPr><w:t xml:space="preserve">3.1 Виды учебной работы</w:t></w:r></w:p><w:tbl><w:tblGrid><w:gridCol w:w="6000" w:type="dxa"/><w:gridCol w:w="30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/><w:tc><w:tcPr><w:tcW w:w="6000" w:type="dxa"/><w:noWrap/></w:tcPr><w:p><w:pPr><w:jc w:val="center"/><w:ind w:left="0" w:right="0" w:firstLine="0" w:hanging="0"/></w:pPr><w:r><w:rPr/><w:t xml:space="preserve">Виды учебной работы</w:t></w:r></w:p></w:tc><w:tc><w:tcPr><w:tcW w:w="3000" w:type="dxa"/><w:noWrap/></w:tcPr><w:p><w:pPr><w:jc w:val="center"/><w:ind w:left="0" w:right="0" w:firstLine="0" w:hanging="0"/></w:pPr><w:r><w:rPr/><w:t xml:space="preserve">Объем в академических часах</w:t></w:r></w:p></w:tc></w:tr><w:tr><w:trPr/><w:tc><w:tcPr><w:noWrap/></w:tcPr><w:p><w:pPr><w:jc w:val="numTab"/><w:ind w:left="0" w:right="0" w:firstLine="0" w:hanging="0"/></w:pPr><w:r><w:rPr><w:b w:val="1"/><w:bCs w:val="1"/></w:rPr><w:t xml:space="preserve">Общая трудоемкость дисциплины по учебному плану</w:t></w:r></w:p></w:tc><w:tc><w:tcPr><w:noWrap/></w:tcPr><w:p><w:pPr><w:jc w:val="center"/><w:ind w:left="0" w:right="0" w:firstLine="0" w:hanging="0"/></w:pPr><w:r><w:rPr/><w:t xml:space="preserve">72</w:t></w:r></w:p></w:tc></w:tr><w:tr><w:trPr/><w:tc><w:tcPr><w:noWrap/></w:tcPr><w:p><w:pPr><w:jc w:val="numTab"/><w:ind w:left="0" w:right="0" w:firstLine="0" w:hanging="0"/></w:pPr><w:r><w:rPr/><w:t xml:space="preserve">В том числе:</w:t></w:r></w:p></w:tc><w:tc><w:tcPr><w:noWrap/></w:tcPr><w:p><w:pPr><w:jc w:val="numTab"/><w:ind w:left="0" w:right="0" w:firstLine="0" w:hanging="0"/></w:pPr><w:r><w:rPr/><w:t xml:space="preserve"></w:t></w:r></w:p></w:tc></w:tr><w:tr><w:trPr/><w:tc><w:tcPr><w:noWrap/></w:tcPr><w:p><w:pPr><w:jc w:val="numTab"/><w:ind w:left="0" w:right="0" w:firstLine="0" w:hanging="0"/></w:pPr><w:r><w:rPr><w:b w:val="1"/><w:bCs w:val="1"/></w:rPr><w:t xml:space="preserve">Контактная работа (работа во взаимодействии с преподавателем). Всего</w:t></w:r></w:p></w:tc><w:tc><w:tcPr><w:noWrap/></w:tcPr><w:p><w:pPr><w:jc w:val="center"/><w:ind w:left="0" w:right="0" w:firstLine="0" w:hanging="0"/></w:pPr><w:r><w:rPr/><w:t xml:space="preserve">32</w:t></w:r></w:p></w:tc></w:tr><w:tr><w:trPr/><w:tc><w:tcPr><w:noWrap/></w:tcPr><w:p><w:pPr><w:jc w:val="numTab"/><w:ind w:left="0" w:right="0" w:firstLine="0" w:hanging="0"/></w:pPr><w:r><w:rPr/><w:t xml:space="preserve">В том числе:</w:t></w:r></w:p></w:tc><w:tc><w:tcPr><w:noWrap/></w:tcPr><w:p><w:pPr><w:jc w:val="numTab"/><w:ind w:left="0" w:right="0" w:firstLine="0" w:hanging="0"/></w:pPr><w:r><w:rPr/><w:t xml:space="preserve"></w:t></w:r></w:p></w:tc></w:tr><w:tr><w:trPr/><w:tc><w:tcPr><w:noWrap/></w:tcPr><w:p><w:pPr><w:jc w:val="numTab"/><w:ind w:left="0" w:right="0" w:firstLine="0" w:hanging="0"/></w:pPr><w:r><w:rPr/><w:t xml:space="preserve">Лекции (Л)</w:t></w:r></w:p></w:tc><w:tc><w:tcPr><w:noWrap/></w:tcPr><w:p><w:pPr><w:jc w:val="center"/><w:ind w:left="0" w:right="0" w:firstLine="0" w:hanging="0"/></w:pPr><w:r><w:rPr/><w:t xml:space="preserve">16</w:t></w:r></w:p></w:tc></w:tr><w:tr><w:trPr/><w:tc><w:tcPr><w:noWrap/></w:tcPr><w:p><w:pPr><w:jc w:val="numTab"/><w:ind w:left="0" w:right="0" w:firstLine="0" w:hanging="0"/></w:pPr><w:r><w:rPr/><w:t xml:space="preserve">Практические занятия (Пр)</w:t></w:r></w:p></w:tc><w:tc><w:tcPr><w:noWrap/></w:tcPr><w:p><w:pPr><w:jc w:val="center"/><w:ind w:left="0" w:right="0" w:firstLine="0" w:hanging="0"/></w:pPr><w:r><w:rPr/><w:t xml:space="preserve">16</w:t></w:r></w:p></w:tc></w:tr><w:tr><w:trPr/><w:tc><w:tcPr><w:noWrap/></w:tcPr><w:p><w:pPr><w:jc w:val="numTab"/><w:ind w:left="0" w:right="0" w:firstLine="0" w:hanging="0"/></w:pPr><w:r><w:rPr/><w:t xml:space="preserve">Лабораторные занятия (Лаб)</w:t></w:r></w:p></w:tc><w:tc><w:tcPr><w:noWrap/></w:tcPr><w:p><w:pPr><w:jc w:val="center"/><w:ind w:left="0" w:right="0" w:firstLine="0" w:hanging="0"/></w:pPr><w:r><w:rPr/><w:t xml:space="preserve">-</w:t></w:r></w:p></w:tc></w:tr><w:tr><w:trPr/><w:tc><w:tcPr><w:noWrap/></w:tcPr><w:p><w:pPr><w:jc w:val="numTab"/><w:ind w:left="0" w:right="0" w:firstLine="0" w:hanging="0"/></w:pPr><w:r><w:rPr/><w:t xml:space="preserve">Вид промежуточной аттестации</w:t></w:r></w:p></w:tc><w:tc><w:tcPr><w:noWrap/></w:tcPr><w:p><w:pPr><w:jc w:val="center"/><w:ind w:left="0" w:right="0" w:firstLine="0" w:hanging="0"/></w:pPr><w:r><w:rPr/><w:t xml:space="preserve">зачет.</w:t></w:r></w:p></w:tc></w:tr><w:tr><w:trPr/><w:tc><w:tcPr><w:noWrap/></w:tcPr><w:p><w:pPr><w:jc w:val="numTab"/><w:ind w:left="0" w:right="0" w:firstLine="0" w:hanging="0"/></w:pPr><w:r><w:rPr><w:b w:val="1"/><w:bCs w:val="1"/></w:rPr><w:t xml:space="preserve">Самостоятельная работа обучающихся (СР) (всего)</w:t></w:r></w:p></w:tc><w:tc><w:tcPr><w:noWrap/></w:tcPr><w:p><w:pPr><w:jc w:val="center"/><w:ind w:left="0" w:right="0" w:firstLine="0" w:hanging="0"/></w:pPr><w:r><w:rPr/><w:t xml:space="preserve">40</w:t></w:r></w:p></w:tc></w:tr><w:tr><w:trPr/><w:tc><w:tcPr><w:gridSpan w:val="2"/><w:noWrap/></w:tcPr><w:p><w:pPr><w:jc w:val="numTab"/><w:ind w:left="0" w:right="0" w:firstLine="0" w:hanging="0"/></w:pPr><w:r><w:rPr/><w:t xml:space="preserve">В том числе:</w:t></w:r></w:p></w:tc></w:tr><w:tr><w:trPr/><w:tc><w:tcPr><w:gridSpan w:val="2"/><w:noWrap/></w:tcPr><w:p><w:pPr><w:jc w:val="numTab"/><w:ind w:left="0" w:right="0" w:firstLine="0" w:hanging="0"/></w:pPr><w:r><w:rPr/><w:t xml:space="preserve">Самостоятельное изучение разделов дисциплины, подготовка к занятиям</w:t></w:r></w:p></w:tc></w:tr><w:tr><w:trPr/><w:tc><w:tcPr><w:gridSpan w:val="2"/><w:noWrap/></w:tcPr><w:p><w:pPr><w:jc w:val="numTab"/><w:ind w:left="0" w:right="0" w:firstLine="0" w:hanging="0"/></w:pPr><w:r><w:rPr/><w:t xml:space="preserve">Подготовка к промежуточной аттестации</w:t></w:r></w:p></w:tc></w:tr></w:tbl><w:p><w:pPr><w:jc w:val="both"/><w:ind w:left="0" w:right="0" w:firstLine="570" w:hanging="0"/><w:spacing w:before="240" w:after="240"/></w:pPr><w:r><w:rPr><w:b w:val="1"/><w:bCs w:val="1"/></w:rPr><w:t xml:space="preserve">3.2. Краткое содержание дисциплины по разделам и видам учебной работы</w:t></w:r></w:p><w:tbl><w:tblGrid><w:gridCol w:w="1000" w:type="dxa"/><w:gridCol w:w="3000" w:type="dxa"/><w:gridCol w:w="600" w:type="dxa"/><w:gridCol w:w="600" w:type="dxa"/><w:gridCol w:w="600" w:type="dxa"/><w:gridCol w:w="600" w:type="dxa"/><w:gridCol w:w="800" w:type="dxa"/><w:gridCol w:w="20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/><w:tc><w:tcPr><w:tcW w:w="1000" w:type="dxa"/><w:textDirection w:val="btLr"/><w:vMerge w:val="restart"/><w:noWrap/></w:tcPr><w:p><w:pPr><w:jc w:val="center"/></w:pPr><w:r><w:rPr/><w:t xml:space="preserve">№ п/п</w:t></w:r></w:p></w:tc><w:tc><w:tcPr><w:tcW w:w="3000" w:type="dxa"/><w:vAlign w:val="center"/><w:vMerge w:val="restart"/><w:noWrap/></w:tcPr><w:p><w:pPr><w:jc w:val="center"/><w:ind w:left="0" w:right="0" w:firstLine="0" w:hanging="0"/></w:pPr><w:r><w:rPr/><w:t xml:space="preserve">Раздел дисциплины
(тематический модуль)</w:t></w:r></w:p></w:tc><w:tc><w:tcPr><w:tcW w:w="3000" w:type="dxa"/><w:gridSpan w:val="5"/><w:noWrap/></w:tcPr><w:p><w:pPr><w:jc w:val="center"/><w:ind w:left="0" w:right="0" w:firstLine="0" w:hanging="0"/></w:pPr><w:r><w:rPr><w:sz w:val="22"/><w:szCs w:val="22"/></w:rPr><w:t xml:space="preserve">Трудоемкость
по видам учебных занятий
(в академических часах)</w:t></w:r></w:p></w:tc><w:tc><w:tcPr><w:tcW w:w="2000" w:type="dxa"/><w:textDirection w:val="btLr"/><w:vAlign w:val="center"/><w:vMerge w:val="restart"/><w:noWrap/></w:tcPr><w:p><w:pPr><w:jc w:val="center"/><w:ind w:left="0" w:right="0" w:firstLine="0" w:hanging="0"/></w:pPr><w:r><w:rPr/><w:t xml:space="preserve">Оценочное средство</w:t></w:r></w:p></w:tc></w:tr><w:tr><w:trPr><w:trHeight w:val="3000" w:hRule="atLeast"/></w:trPr><w:tc><w:tcPr><w:tcW w:w="1000" w:type="dxa"/><w:vMerge w:val="continue"/><w:noWrap/></w:tcPr><w:p/></w:tc><w:tc><w:tcPr><w:tcW w:w="3000" w:type="dxa"/><w:vMerge w:val="continue"/><w:noWrap/></w:tcPr><w:p/></w:tc><w:tc><w:tcPr><w:tcW w:w="600" w:type="dxa"/><w:textDirection w:val="btLr"/><w:noWrap/></w:tcPr><w:p><w:pPr><w:jc w:val="center"/><w:ind w:left="0" w:right="0" w:firstLine="0" w:hanging="0"/></w:pPr><w:r><w:rPr/><w:t xml:space="preserve">Всего</w:t></w:r></w:p></w:tc><w:tc><w:tcPr><w:tcW w:w="600" w:type="dxa"/><w:textDirection w:val="btLr"/><w:noWrap/></w:tcPr><w:p><w:pPr><w:jc w:val="center"/><w:ind w:left="0" w:right="0" w:firstLine="0" w:hanging="0"/></w:pPr><w:r><w:rPr/><w:t xml:space="preserve">Лекции</w:t></w:r></w:p></w:tc><w:tc><w:tcPr><w:tcW w:w="600" w:type="dxa"/><w:textDirection w:val="btLr"/><w:noWrap/></w:tcPr><w:p><w:pPr><w:jc w:val="center"/><w:ind w:left="0" w:right="0" w:firstLine="0" w:hanging="0"/></w:pPr><w:r><w:rPr/><w:t xml:space="preserve">Практические занятия</w:t></w:r></w:p></w:tc><w:tc><w:tcPr><w:tcW w:w="600" w:type="dxa"/><w:textDirection w:val="btLr"/><w:noWrap/></w:tcPr><w:p><w:pPr><w:jc w:val="center"/><w:ind w:left="0" w:right="0" w:firstLine="0" w:hanging="0"/></w:pPr><w:r><w:rPr/><w:t xml:space="preserve">Лабораторные занятия</w:t></w:r></w:p></w:tc><w:tc><w:tcPr><w:tcW w:w="800" w:type="dxa"/><w:textDirection w:val="btLr"/><w:noWrap/></w:tcPr><w:p><w:pPr><w:jc w:val="center"/><w:ind w:left="0" w:right="0" w:firstLine="0" w:hanging="0"/></w:pPr><w:r><w:rPr/><w:t xml:space="preserve">Самостоятельная работа обучающихся</w:t></w:r></w:p></w:tc><w:tc><w:tcPr><w:tcW w:w="2000" w:type="dxa"/><w:vMerge w:val="continue"/><w:noWrap/></w:tcPr><w:p/></w:tc></w:tr><w:tr><w:trPr/><w:tc><w:tcPr><w:gridSpan w:val="8"/><w:noWrap/></w:tcPr><w:p><w:pPr><w:jc w:val="center"/><w:ind w:left="0" w:right="0" w:firstLine="0" w:hanging="0"/></w:pPr><w:r><w:rPr/><w:t xml:space="preserve">Семестр № 5</w:t></w:r></w:p></w:tc></w:tr><w:tr><w:trPr/><w:tc><w:tcPr><w:noWrap/></w:tcPr><w:p><w:pPr><w:jc w:val="center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Теоретические основания исследования политического маркетинга.</w:t></w:r></w:p></w:tc><w:tc><w:tcPr><w:noWrap/></w:tcPr><w:p><w:pPr><w:jc w:val="left"/><w:ind w:left="0" w:right="0" w:firstLine="0" w:hanging="0"/></w:pPr><w:r><w:rPr/><w:t xml:space="preserve">31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w:tc><w:tcPr><w:noWrap/></w:tcPr><w:p><w:pPr><w:jc w:val="left"/><w:ind w:left="0" w:right="0" w:firstLine="0" w:hanging="0"/></w:pPr><w:r><w:rPr/><w:t xml:space="preserve">15</w:t></w:r></w:p></w:tc><w:tc><w:tcPr><w:noWrap/></w:tcPr><w:p><w:pPr><w:jc w:val="left"/><w:ind w:left="0" w:right="0" w:firstLine="0" w:hanging="0"/></w:pPr><w:r><w:rPr/><w:t xml:space="preserve">Коллоквиум, доклад ,зачет</w:t></w:r></w:p></w:tc></w:tr><w:tr><w:trPr/><w:tc><w:tcPr><w:noWrap/></w:tcPr><w:p><w:pPr><w:jc w:val="center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Политический рынок и  виды политического маркетинга</w:t></w:r></w:p></w:tc><w:tc><w:tcPr><w:noWrap/></w:tcPr><w:p><w:pPr><w:jc w:val="left"/><w:ind w:left="0" w:right="0" w:firstLine="0" w:hanging="0"/></w:pPr><w:r><w:rPr/><w:t xml:space="preserve">41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w:tc><w:tcPr><w:noWrap/></w:tcPr><w:p><w:pPr><w:jc w:val="left"/><w:ind w:left="0" w:right="0" w:firstLine="0" w:hanging="0"/></w:pPr><w:r><w:rPr/><w:t xml:space="preserve">25</w:t></w:r></w:p></w:tc><w:tc><w:tcPr><w:noWrap/></w:tcPr><w:p><w:pPr><w:jc w:val="left"/><w:ind w:left="0" w:right="0" w:firstLine="0" w:hanging="0"/></w:pPr><w:r><w:rPr/><w:t xml:space="preserve">Коллоквиум, доклад,зачет</w:t></w:r></w:p></w:tc></w:tr><w:tr><w:trPr/><w:tc><w:tcPr><w:gridSpan w:val="8"/><w:noWrap/></w:tcPr><w:p><w:pPr><w:jc w:val="center"/><w:ind w:left="0" w:right="0" w:firstLine="0" w:hanging="0"/></w:pPr><w:r><w:rPr/><w:t xml:space="preserve">Вид промежуточной аттестации в семестре: зачет.</w:t></w:r></w:p></w:tc></w:tr><w:tr><w:trPr/><w:tc><w:tcPr><w:gridSpan w:val="2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72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0</w:t></w:r></w:p></w:tc><w:tc><w:tcPr><w:noWrap/></w:tcPr><w:p><w:pPr><w:jc w:val="left"/><w:ind w:left="0" w:right="0" w:firstLine="0" w:hanging="0"/></w:pPr><w:r><w:rPr/><w:t xml:space="preserve">40</w:t></w:r></w:p></w:tc><w:tc><w:tcPr><w:noWrap/></w:tcPr><w:p/></w:tc></w:tr></w:tbl><w:p><w:pPr><w:jc w:val="both"/><w:ind w:left="0" w:right="0" w:firstLine="570" w:hanging="0"/><w:spacing w:before="240" w:after="240"/></w:pPr><w:r><w:rPr><w:b w:val="1"/><w:bCs w:val="1"/></w:rPr><w:t xml:space="preserve">3.3. Содержание аудиторных занятий</w:t></w:r></w:p><w:p><w:pPr><w:jc w:val="center"/><w:ind w:left="0" w:right="0" w:firstLine="0" w:hanging="0"/></w:pPr><w:r><w:rPr/><w:t xml:space="preserve">Содержание лекционных занятий</w:t></w:r></w:p><w:tbl><w:tblGrid><w:gridCol w:w="750" w:type="dxa"/><w:gridCol w:w="750" w:type="dxa"/><w:gridCol w:w="5800" w:type="dxa"/><w:gridCol w:w="750" w:type="dxa"/><w:gridCol w:w="12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><w:trHeight w:val="2000" w:hRule="atLeast"/></w:trPr><w:tc><w:tcPr><w:tcW w:w="750" w:type="dxa"/><w:textDirection w:val="btLr"/><w:noWrap/></w:tcPr><w:p><w:pPr><w:jc w:val="center"/></w:pPr><w:r><w:rPr/><w:t xml:space="preserve">№ раздела</w:t></w:r></w:p></w:tc><w:tc><w:tcPr><w:tcW w:w="750" w:type="dxa"/><w:textDirection w:val="btLr"/><w:noWrap/></w:tcPr><w:p><w:pPr><w:jc w:val="center"/></w:pPr><w:r><w:rPr/><w:t xml:space="preserve">№ лекции</w:t></w:r></w:p></w:tc><w:tc><w:tcPr><w:tcW w:w="5800" w:type="dxa"/><w:vAlign w:val="center"/><w:noWrap/></w:tcPr><w:p><w:pPr><w:jc w:val="center"/><w:ind w:left="0" w:right="0" w:firstLine="0" w:hanging="0"/></w:pPr><w:r><w:rPr/><w:t xml:space="preserve">Основное содержание лекций</w:t></w:r></w:p></w:tc><w:tc><w:tcPr><w:tcW w:w="750" w:type="dxa"/><w:textDirection w:val="btLr"/><w:noWrap/></w:tcPr><w:p><w:pPr><w:jc w:val="center"/><w:ind w:left="0" w:right="0" w:firstLine="0" w:hanging="0"/></w:pPr><w:r><w:rPr/><w:t xml:space="preserve">Количество часов</w:t></w:r></w:p></w:tc><w:tc><w:tcPr><w:tcW w:w="1200" w:type="dxa"/><w:textDirection w:val="btLr"/><w:noWrap/></w:tcPr><w:p><w:pPr><w:jc w:val="center"/><w:ind w:left="0" w:right="0" w:firstLine="0" w:hanging="0"/></w:pPr><w:r><w:rPr/><w:t xml:space="preserve">В т.ч. с
использованием
ДОТ (*)</w:t></w:r></w:p></w:tc></w:tr><w:tr><w:trPr/><w:tc><w:tcPr><w:gridSpan w:val="5"/><w:noWrap/></w:tcPr><w:p><w:pPr><w:keepNext w:val="1"/><w:jc w:val="center"/><w:ind w:left="0" w:right="0" w:firstLine="0" w:hanging="0"/></w:pPr><w:r><w:rPr/><w:t xml:space="preserve">Семестр № 5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1.1</w:t></w:r></w:p></w:tc><w:tc><w:tcPr><w:noWrap/></w:tcPr><w:p><w:pPr><w:jc w:val="left"/><w:ind w:left="0" w:right="0" w:firstLine="0" w:hanging="0"/></w:pPr><w:r><w:rPr/><w:t xml:space="preserve">Понятие и значение политического маркетинга. Возникновение и развитие маркетинга. Маркетизация культуры массового общества. Социальный маркетинг. Маркетинг и политические процессы. Политический маркетинг: от избирательных технологий – к систематизации политических процессов. Маркетинг как метод анализа и технология организации политической деятельности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1.2</w:t></w:r></w:p></w:tc><w:tc><w:tcPr><w:noWrap/></w:tcPr><w:p><w:pPr><w:jc w:val="left"/><w:ind w:left="0" w:right="0" w:firstLine="0" w:hanging="0"/></w:pPr><w:r><w:rPr/><w:t xml:space="preserve">Маркетинговые и политические стратегии: факторы формирования и анализ Позиционирование и место в конкуренции на политических рынках. Типы маркетинговых стратегий в публичной политике. Стратегии спроса: стимулирующий маркетинг, развивающий маркетинг, ремаркетинг, синхромаркетинг, поддерживающий маркетинг, демаркетинг, противодействующий маркетинг, Стратегии продвижения: дифференцированные, недифференцированные и концентрированные стратегии. Стратегии конкуренции: наступательные, холдинговые, венчурные, спойлерские, «партизанские» стратегии. Стратегии продвижения. Стратегии реализации. Факторы определения маркетинговых стратегий.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2.1</w:t></w:r></w:p></w:tc><w:tc><w:tcPr><w:noWrap/></w:tcPr><w:p><w:pPr><w:jc w:val="left"/><w:ind w:left="0" w:right="0" w:firstLine="0" w:hanging="0"/></w:pPr><w:r><w:rPr/><w:t xml:space="preserve">Политические рынки и виды политического маркетинга Понятие социальных сил. Социальные силы современного обществ. Политические рынки. Маркетинг идей. Маркетинг организаций: партий, общественных организаций, органов власти. Маркетинг лидеров. Маркетинг проектов. Маркетинг НКД и НКО в публичной политике. Маркетинг и брендинг. Особенности политических рынков и маркетинга в России.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2.2</w:t></w:r></w:p></w:tc><w:tc><w:tcPr><w:noWrap/></w:tcPr><w:p><w:pPr><w:jc w:val="left"/><w:ind w:left="0" w:right="0" w:firstLine="0" w:hanging="0"/></w:pPr><w:r><w:rPr/><w:t xml:space="preserve">Модели электорального маркетинга. Технологии  агитации и пропаганды  как  маркетинговый ход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gridSpan w:val="3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0</w:t></w:r></w:p></w:tc></w:tr></w:tbl><w:p><w:pPr><w:jc w:val="center"/><w:ind w:left="0" w:right="0" w:firstLine="0" w:hanging="0"/></w:pPr><w:r><w:rPr/><w:t xml:space="preserve">Содержание практических (или семинарских) занятий</w:t></w:r></w:p><w:tbl><w:tblGrid><w:gridCol w:w="750" w:type="dxa"/><w:gridCol w:w="750" w:type="dxa"/><w:gridCol w:w="5800" w:type="dxa"/><w:gridCol w:w="750" w:type="dxa"/><w:gridCol w:w="12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><w:trHeight w:val="2000" w:hRule="atLeast"/></w:trPr><w:tc><w:tcPr><w:tcW w:w="750" w:type="dxa"/><w:textDirection w:val="btLr"/><w:noWrap/></w:tcPr><w:p><w:pPr><w:jc w:val="center"/></w:pPr><w:r><w:rPr/><w:t xml:space="preserve">№ раздела</w:t></w:r></w:p></w:tc><w:tc><w:tcPr><w:tcW w:w="750" w:type="dxa"/><w:textDirection w:val="btLr"/><w:noWrap/></w:tcPr><w:p><w:pPr><w:jc w:val="center"/></w:pPr><w:r><w:rPr/><w:t xml:space="preserve">№ занятия</w:t></w:r></w:p></w:tc><w:tc><w:tcPr><w:tcW w:w="5800" w:type="dxa"/><w:vAlign w:val="center"/><w:noWrap/></w:tcPr><w:p><w:pPr><w:jc w:val="center"/><w:ind w:left="0" w:right="0" w:firstLine="0" w:hanging="0"/></w:pPr><w:r><w:rPr/><w:t xml:space="preserve">Основное содержание</w:t></w:r></w:p></w:tc><w:tc><w:tcPr><w:tcW w:w="750" w:type="dxa"/><w:textDirection w:val="btLr"/><w:noWrap/></w:tcPr><w:p><w:pPr><w:jc w:val="center"/><w:ind w:left="0" w:right="0" w:firstLine="0" w:hanging="0"/></w:pPr><w:r><w:rPr/><w:t xml:space="preserve">Количество часов</w:t></w:r></w:p></w:tc><w:tc><w:tcPr><w:tcW w:w="1200" w:type="dxa"/><w:textDirection w:val="btLr"/><w:noWrap/></w:tcPr><w:p><w:pPr><w:jc w:val="center"/><w:ind w:left="0" w:right="0" w:firstLine="0" w:hanging="0"/></w:pPr><w:r><w:rPr/><w:t xml:space="preserve">В т.ч. с
использованием
ДОТ (*)</w:t></w:r></w:p></w:tc></w:tr><w:tr><w:trPr/><w:tc><w:tcPr><w:gridSpan w:val="5"/><w:noWrap/></w:tcPr><w:p><w:pPr><w:keepNext w:val="1"/><w:jc w:val="center"/><w:ind w:left="0" w:right="0" w:firstLine="0" w:hanging="0"/></w:pPr><w:r><w:rPr/><w:t xml:space="preserve">Семестр № 5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1.1</w:t></w:r></w:p></w:tc><w:tc><w:tcPr><w:noWrap/></w:tcPr><w:p><w:pPr><w:jc w:val="left"/><w:ind w:left="0" w:right="0" w:firstLine="0" w:hanging="0"/></w:pPr><w:r><w:rPr/><w:t xml:space="preserve">Методология  политического маркетинга. Политический маркетинг: концепция и технология. Политический маркетинг в системе политического управления.  Политический рынок и его специфика в современной России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1.2</w:t></w:r></w:p></w:tc><w:tc><w:tcPr><w:noWrap/></w:tcPr><w:p><w:pPr><w:jc w:val="left"/><w:ind w:left="0" w:right="0" w:firstLine="0" w:hanging="0"/></w:pPr><w:r><w:rPr/><w:t xml:space="preserve">Исследования феномена политического маркетинга. Маркетинг государственного администрирования,  Маркетинг законодательных органов власти,  Маркетинг руководства,  Маркетинг общественных организаций, Маркетинг идей и персон. Маркетинг принятия политических решений Маркетинг избирательной кампании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2.1</w:t></w:r></w:p></w:tc><w:tc><w:tcPr><w:noWrap/></w:tcPr><w:p><w:pPr><w:jc w:val="left"/><w:ind w:left="0" w:right="0" w:firstLine="0" w:hanging="0"/></w:pPr><w:r><w:rPr/><w:t xml:space="preserve">	Проектирование маркетинговых политических и избирательных кампаний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2.2</w:t></w:r></w:p></w:tc><w:tc><w:tcPr><w:noWrap/></w:tcPr><w:p><w:pPr><w:jc w:val="left"/><w:ind w:left="0" w:right="0" w:firstLine="0" w:hanging="0"/></w:pPr><w:r><w:rPr/><w:t xml:space="preserve">Информационно-коммуникационные технологии в политическом маркетинге. Виды СМИ и их значение для политического маркетинга и коммуникаций. Критерии отбора медиа.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gridSpan w:val="3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0</w:t></w:r></w:p></w:tc></w:tr></w:tbl><w:p><w:pPr><w:jc w:val="both"/><w:ind w:left="0" w:right="0" w:firstLine="570" w:hanging="0"/><w:spacing w:before="240" w:after="240"/></w:pPr><w:r><w:rPr><w:b w:val="1"/><w:bCs w:val="1"/></w:rPr><w:t xml:space="preserve">3.4. Организация самостоятельной работы обучающегося</w:t></w:r></w:p><w:tbl><w:tblGrid><w:gridCol w:w="750" w:type="dxa"/><w:gridCol w:w="6550" w:type="dxa"/><w:gridCol w:w="750" w:type="dxa"/><w:gridCol w:w="12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><w:trHeight w:val="2000" w:hRule="atLeast"/></w:trPr><w:tc><w:tcPr><w:tcW w:w="750" w:type="dxa"/><w:textDirection w:val="btLr"/><w:noWrap/></w:tcPr><w:p><w:pPr><w:jc w:val="center"/></w:pPr><w:r><w:rPr/><w:t xml:space="preserve">№ раздела</w:t></w:r></w:p></w:tc><w:tc><w:tcPr><w:tcW w:w="6550" w:type="dxa"/><w:vAlign w:val="center"/><w:noWrap/></w:tcPr><w:p><w:pPr><w:jc w:val="center"/><w:ind w:left="0" w:right="0" w:firstLine="0" w:hanging="0"/></w:pPr><w:r><w:rPr/><w:t xml:space="preserve">Задания для самостоятельной работы</w:t></w:r></w:p></w:tc><w:tc><w:tcPr><w:tcW w:w="750" w:type="dxa"/><w:textDirection w:val="btLr"/><w:noWrap/></w:tcPr><w:p><w:pPr><w:jc w:val="center"/><w:ind w:left="0" w:right="0" w:firstLine="0" w:hanging="0"/></w:pPr><w:r><w:rPr/><w:t xml:space="preserve">Количество часов</w:t></w:r></w:p></w:tc><w:tc><w:tcPr><w:tcW w:w="1200" w:type="dxa"/><w:textDirection w:val="btLr"/><w:noWrap/></w:tcPr><w:p><w:pPr><w:jc w:val="center"/><w:ind w:left="0" w:right="0" w:firstLine="0" w:hanging="0"/></w:pPr><w:r><w:rPr/><w:t xml:space="preserve">В т.ч. с
использованием
ДОТ (*)</w:t></w:r></w:p></w:tc></w:tr><w:tr><w:trPr/><w:tc><w:tcPr><w:gridSpan w:val="4"/><w:noWrap/></w:tcPr><w:p><w:pPr><w:keepNext w:val="1"/><w:jc w:val="center"/><w:ind w:left="0" w:right="0" w:firstLine="0" w:hanging="0"/></w:pPr><w:r><w:rPr/><w:t xml:space="preserve">Семестр № 5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Определения  политического маркетинга. Генезис определений политического маркетинга. Типология определений политического маркетинга</w:t></w:r></w:p></w:tc><w:tc><w:tcPr><w:noWrap/></w:tcPr><w:p><w:pPr><w:jc w:val="left"/><w:ind w:left="0" w:right="0" w:firstLine="0" w:hanging="0"/></w:pPr><w:r><w:rPr/><w:t xml:space="preserve">5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Политический маркетинг  как междисциплинарная область.  Междисциплинарный характер современной политической науки и политического маркетинга. Подвижность и открытость предметных полей политических дисциплин и политического маркетинга. Внимание к периферийным областям исследований  4. Мультиметодологичность политической науки и политического маркетинга  5. Общая характеристика теорий политического маркетинга </w:t></w:r></w:p></w:tc><w:tc><w:tcPr><w:noWrap/></w:tcPr><w:p><w:pPr><w:jc w:val="left"/><w:ind w:left="0" w:right="0" w:firstLine="0" w:hanging="0"/></w:pPr><w:r><w:rPr/><w:t xml:space="preserve">6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Концепции политического маркетинга. Общая характеристика концепций коммерческого маркетинга. Общая характеристика концепций политического маркетинга. Массовые vs всеохватные партии в концепциях политического маркетинга. Универсальные vs кастомизированные партии в концепциях политического маркетинга 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Инструменты политического маркетинга менеджмен. Общая характеристика политического маркетинга-микс. Концепт «продукт» как элемент политического маркетинга-микс . Концепт «цена» как элемент политического маркетинга-микс. Концепт «место» как элемент политического маркетинга-микс . Концепт «продвижение» как элемент политического маркетинга-микс 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Политика в терминах политического маркетинга.   Избиратель как потребитель политического продукта. Общая характеристика политмаркетинговых моделей электорального поведения. Маркетинговая теория потребительского/электорального поведения 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Подготовка к зачету</w:t></w:r></w:p></w:tc><w:tc><w:tcPr><w:noWrap/></w:tcPr><w:p><w:pPr><w:jc w:val="left"/><w:ind w:left="0" w:right="0" w:firstLine="0" w:hanging="0"/></w:pPr><w:r><w:rPr/><w:t xml:space="preserve">9</w:t></w:r></w:p></w:tc><w:tc><w:tcPr><w:noWrap/></w:tcPr><w:p><w:pPr><w:jc w:val="left"/><w:ind w:left="0" w:right="0" w:firstLine="0" w:hanging="0"/></w:pPr><w:r><w:rPr/><w:t xml:space="preserve">0</w:t></w:r></w:p></w:tc></w:tr><w:tr><w:trPr/><w:tc><w:tcPr><w:gridSpan w:val="2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40</w:t></w:r></w:p></w:tc><w:tc><w:tcPr><w:noWrap/></w:tcPr><w:p><w:pPr><w:jc w:val="left"/><w:ind w:left="0" w:right="0" w:firstLine="0" w:hanging="0"/></w:pPr><w:r><w:rPr/><w:t xml:space="preserve">0</w:t></w:r></w:p></w:tc></w:tr></w:tbl><w:p><w:pPr><w:jc w:val="both"/><w:ind w:left="0" w:right="0" w:firstLine="570" w:hanging="0"/><w:spacing w:before="240" w:after="240"/></w:pPr><w:r><w:rPr><w:b w:val="1"/><w:bCs w:val="1"/></w:rPr><w:t xml:space="preserve">4. Образовательные технологии по дисциплине</w:t></w:r></w:p><w:p><w:pPr/><w:r><w:rPr/><w:t xml:space="preserve">При изучении курса «Политология» используются технологии проблемного обучения: дискуссия; обсуждение; самостоятельная постановка обучающимися проблемных вопросов и поиск на них ответов. Основной целью технологии проблемного обучения является научить обучающихся нестандартно мыслить, творчески усваивая получаемые знания. Обучающимся, кроме вопросов к семинарским занятиям, предлагается подготовить сообщения по теме семинара.</w:t></w:r></w:p><w:p><w:pPr/><w:r><w:rPr><w:b w:val="1"/><w:bCs w:val="1"/></w:rPr><w:t xml:space="preserve"> </w:t></w:r></w:p><w:p><w:pPr/><w:r><w:rPr/><w:t xml:space="preserve">Основные образовательные технологии:</w:t></w:r></w:p><w:p><w:pPr/><w:r><w:rPr/><w:t xml:space="preserve"> Опрос, </w:t></w:r></w:p><w:p><w:pPr/><w:r><w:rPr/><w:t xml:space="preserve"> Доклады, сообщения</w:t></w:r></w:p><w:p><w:pPr><w:jc w:val="both"/><w:ind w:left="0" w:right="0" w:firstLine="570" w:hanging="0"/><w:spacing w:before="240" w:after="240"/></w:pPr><w:r><w:rPr><w:b w:val="1"/><w:bCs w:val="1"/></w:rPr><w:t xml:space="preserve">5. Оценочные средства для текущего контроля успеваемости, промежуточной аттестации обучающихся по дисциплине</w:t></w:r></w:p><w:p><w:pPr/><w:r><w:rPr/><w:t xml:space="preserve">5.1. Текущий контроль осуществляется преподавателем дисциплины при проведении занятий в форме: доклад, сообщение; коллоквиум.</w:t></w:r></w:p><w:p><w:pPr/><w:r><w:rPr/><w:t xml:space="preserve">Оценочные средства для текущего контроля.</w:t></w:r></w:p><w:p><w:pPr/><w:r><w:rPr/><w:t xml:space="preserve">Доклад, сообщение</w:t></w:r></w:p><w:p><w:pPr/><w:r><w:rPr/><w:t xml:space="preserve">Примерные темы:</w:t></w:r></w:p><w:p><w:pPr/><w:r><w:rPr/><w:t xml:space="preserve">Политический маркетинг как междисциплинарная область.</w:t></w:r></w:p><w:p><w:pPr/><w:r><w:rPr/><w:t xml:space="preserve">Междисциплинарный характер современной политической науки и политического маркетинга.</w:t></w:r></w:p><w:p><w:pPr/><w:r><w:rPr/><w:t xml:space="preserve">Мультиметодологичность политической науки и политического маркетинга.</w:t></w:r></w:p><w:p><w:pPr/><w:r><w:rPr/><w:t xml:space="preserve">Общая характеристика теорий политического маркетинга</w:t></w:r></w:p><w:p/><w:p><w:pPr/><w:r><w:rPr/><w:t xml:space="preserve">Коллоквиум</w:t></w:r></w:p><w:p><w:pPr/><w:r><w:rPr/><w:t xml:space="preserve">Примерные   темы и вопросы:</w:t></w:r></w:p><w:p><w:pPr/><w:r><w:rPr><w:b w:val="1"/><w:bCs w:val="1"/></w:rPr><w:t xml:space="preserve">Методология политического маркетинга.</w:t></w:r></w:p><w:p><w:pPr/><w:r><w:rPr/><w:t xml:space="preserve">Политический маркетинг: концепция и технология.</w:t></w:r></w:p><w:p><w:pPr/><w:r><w:rPr/><w:t xml:space="preserve">Политический маркетинг в системе политического управления.</w:t></w:r></w:p><w:p><w:pPr/><w:r><w:rPr/><w:t xml:space="preserve">Политический рынок и его специфика в современной России</w:t></w:r></w:p><w:p><w:pPr/><w:r><w:rPr><w:b w:val="1"/><w:bCs w:val="1"/></w:rPr><w:t xml:space="preserve">Исследования феномена политического маркетинга.</w:t></w:r></w:p><w:p><w:pPr/><w:r><w:rPr/><w:t xml:space="preserve">Маркетинг государственного администрирования,</w:t></w:r></w:p><w:p><w:pPr/><w:r><w:rPr/><w:t xml:space="preserve">Маркетинг законодательных органов власти,</w:t></w:r></w:p><w:p><w:pPr/><w:r><w:rPr/><w:t xml:space="preserve">Маркетинг руководства,</w:t></w:r></w:p><w:p><w:pPr/><w:r><w:rPr/><w:t xml:space="preserve"> Маркетинг общественных организаций,</w:t></w:r></w:p><w:p><w:pPr/><w:r><w:rPr/><w:t xml:space="preserve">Маркетинг идей и персон.</w:t></w:r></w:p><w:p><w:pPr/><w:r><w:rPr/><w:t xml:space="preserve">Маркетинг принятия политических решений</w:t></w:r></w:p><w:p><w:pPr/><w:r><w:rPr/><w:t xml:space="preserve">Маркетинг избирательной кампании</w:t></w:r></w:p><w:p><w:pPr/><w:r><w:rPr><w:b w:val="1"/><w:bCs w:val="1"/></w:rPr><w:t xml:space="preserve">Проектирование маркетинговых политических и избирательных кампаний</w:t></w:r><w:r><w:rPr/><w:t xml:space="preserve"> </w:t></w:r><w:r><w:rPr><w:b w:val="1"/><w:bCs w:val="1"/></w:rPr><w:t xml:space="preserve">Информационно-коммуникационные технологии в политическом маркетинге.</w:t></w:r></w:p><w:p><w:pPr/><w:r><w:rPr/><w:t xml:space="preserve">Виды СМИ и их значение для политического маркетинга и коммуникаций.</w:t></w:r></w:p><w:p><w:pPr/><w:r><w:rPr/><w:t xml:space="preserve">Критерии отбора медиа</w:t></w:r></w:p><w:p/><w:p><w:pPr/><w:r><w:rPr/><w:t xml:space="preserve">5.2. Промежуточная аттестация проводится в виде:</w:t></w:r></w:p><w:p/><w:p><w:pPr/><w:r><w:rPr/><w:t xml:space="preserve">Зачет</w:t></w:r></w:p><w:p><w:pPr/><w:r><w:rPr/><w:t xml:space="preserve">Примерны вопросы зачета:</w:t></w:r></w:p><w:p><w:pPr/><w:r><w:rPr><w:i w:val="1"/><w:iCs w:val="1"/></w:rPr><w:t xml:space="preserve"> </w:t></w:r></w:p><w:p><w:pPr><w:numPr><w:ilvl w:val="0"/><w:numId w:val="1"/></w:numPr></w:pPr><w:r><w:rPr/><w:t xml:space="preserve">Определения политического маркетинга.</w:t></w:r></w:p><w:p><w:pPr><w:numPr><w:ilvl w:val="0"/><w:numId w:val="1"/></w:numPr></w:pPr><w:r><w:rPr/><w:t xml:space="preserve">Генезис определений политического маркетинга.</w:t></w:r></w:p><w:p><w:pPr><w:numPr><w:ilvl w:val="0"/><w:numId w:val="1"/></w:numPr></w:pPr><w:r><w:rPr/><w:t xml:space="preserve">Типология определений политического маркетинга</w:t></w:r></w:p><w:p><w:pPr><w:numPr><w:ilvl w:val="0"/><w:numId w:val="1"/></w:numPr></w:pPr><w:r><w:rPr/><w:t xml:space="preserve">Концепции политического маркетинга</w:t></w:r></w:p><w:p><w:pPr><w:numPr><w:ilvl w:val="0"/><w:numId w:val="1"/></w:numPr></w:pPr><w:r><w:rPr/><w:t xml:space="preserve">Типы маркетинговых стратегий в публичной политике.</w:t></w:r></w:p><w:p><w:pPr><w:numPr><w:ilvl w:val="0"/><w:numId w:val="1"/></w:numPr></w:pPr><w:r><w:rPr/><w:t xml:space="preserve">Стратегии спроса:</w:t></w:r></w:p><w:p><w:pPr><w:numPr><w:ilvl w:val="0"/><w:numId w:val="1"/></w:numPr></w:pPr><w:r><w:rPr/><w:t xml:space="preserve">Стратегии продвижения</w:t></w:r></w:p><w:p><w:pPr><w:numPr><w:ilvl w:val="0"/><w:numId w:val="1"/></w:numPr></w:pPr><w:r><w:rPr/><w:t xml:space="preserve">Стратегии конкуренции:</w:t></w:r></w:p><w:p><w:pPr><w:numPr><w:ilvl w:val="0"/><w:numId w:val="1"/></w:numPr></w:pPr><w:r><w:rPr/><w:t xml:space="preserve">Стратегии продвижения.</w:t></w:r></w:p><w:p><w:pPr><w:numPr><w:ilvl w:val="0"/><w:numId w:val="1"/></w:numPr></w:pPr><w:r><w:rPr/><w:t xml:space="preserve">Стратегии реализации.</w:t></w:r></w:p><w:p><w:pPr><w:numPr><w:ilvl w:val="0"/><w:numId w:val="1"/></w:numPr></w:pPr><w:r><w:rPr/><w:t xml:space="preserve">Факторы определения маркетинговых стратегий.</w:t></w:r></w:p><w:p><w:pPr><w:numPr><w:ilvl w:val="0"/><w:numId w:val="1"/></w:numPr></w:pPr><w:r><w:rPr/><w:t xml:space="preserve">Политические рынки и виды политического маркетинга</w:t></w:r></w:p><w:p><w:pPr><w:numPr><w:ilvl w:val="0"/><w:numId w:val="1"/></w:numPr></w:pPr><w:r><w:rPr/><w:t xml:space="preserve">Маркетинг идейи персон</w:t></w:r></w:p><w:p><w:pPr><w:numPr><w:ilvl w:val="0"/><w:numId w:val="1"/></w:numPr></w:pPr><w:r><w:rPr/><w:t xml:space="preserve">Маркетинг организаций: партий, общественных организаций, органов власти.</w:t></w:r></w:p><w:p><w:pPr><w:numPr><w:ilvl w:val="0"/><w:numId w:val="1"/></w:numPr></w:pPr><w:r><w:rPr/><w:t xml:space="preserve">Маркетинг лидеров.</w:t></w:r></w:p><w:p><w:pPr><w:numPr><w:ilvl w:val="0"/><w:numId w:val="1"/></w:numPr></w:pPr><w:r><w:rPr/><w:t xml:space="preserve">Маркетинг проектов.</w:t></w:r></w:p><w:p><w:pPr><w:numPr><w:ilvl w:val="0"/><w:numId w:val="1"/></w:numPr></w:pPr><w:r><w:rPr/><w:t xml:space="preserve">Маркетинг НКД и НКО в публичной политике.</w:t></w:r></w:p><w:p><w:pPr><w:numPr><w:ilvl w:val="0"/><w:numId w:val="1"/></w:numPr></w:pPr><w:r><w:rPr/><w:t xml:space="preserve">Маркетинг и брендинг. Особенности политических рынков и маркетинга в России.</w:t></w:r></w:p><w:p><w:pPr><w:numPr><w:ilvl w:val="0"/><w:numId w:val="1"/></w:numPr></w:pPr><w:r><w:rPr/><w:t xml:space="preserve">Маркетинг государственного администрирования,</w:t></w:r></w:p><w:p><w:pPr><w:numPr><w:ilvl w:val="0"/><w:numId w:val="1"/></w:numPr></w:pPr><w:r><w:rPr/><w:t xml:space="preserve">Маркетинг законодательных органов власти,</w:t></w:r></w:p><w:p><w:pPr><w:numPr><w:ilvl w:val="0"/><w:numId w:val="1"/></w:numPr></w:pPr><w:r><w:rPr/><w:t xml:space="preserve">Маркетинг руководства,</w:t></w:r></w:p><w:p><w:pPr><w:numPr><w:ilvl w:val="0"/><w:numId w:val="1"/></w:numPr></w:pPr><w:r><w:rPr/><w:t xml:space="preserve">.Маркетинг принятия политических решений</w:t></w:r></w:p><w:p><w:pPr><w:numPr><w:ilvl w:val="0"/><w:numId w:val="1"/></w:numPr></w:pPr><w:r><w:rPr/><w:t xml:space="preserve">Маркетинг избирательной кампании</w:t></w:r></w:p><w:p><w:pPr><w:numPr><w:ilvl w:val="0"/><w:numId w:val="1"/></w:numPr></w:pPr><w:r><w:rPr/><w:t xml:space="preserve">Модели электорального маркетинга.</w:t></w:r></w:p><w:p><w:pPr><w:numPr><w:ilvl w:val="0"/><w:numId w:val="1"/></w:numPr></w:pPr><w:r><w:rPr/><w:t xml:space="preserve">Технологии агитации и пропаганды как маркетинговый ход</w:t></w:r></w:p><w:p/><w:p><w:pPr/><w:r><w:rPr/>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</w:r></w:p><w:p><w:pPr><w:jc w:val="both"/><w:ind w:left="0" w:right="0" w:firstLine="570" w:hanging="0"/><w:spacing w:before="240" w:after="240"/></w:pPr><w:r><w:rPr><w:b w:val="1"/><w:bCs w:val="1"/></w:rPr><w:t xml:space="preserve">6. Методические рекомендации обучающимся по дисциплине, в том числе для самостоятельной работы</w:t></w:r></w:p><w:p><w:pPr/><w:r><w:rPr/><w:t xml:space="preserve">Аудиторные занятия со студентами по дисциплине «Политический маркетинг» проходят в форме лекций и практических занятий. Во время лекций студенту предлагается небольшой объем нормативного знания о теоретических основах политического маркетинга, подходах к его определению. Во время лекции рекомендуется составлять ее конспект, который может быть дополнен во время практических занятий, самостоятельной работы,а также использован при выполнении практических заданий, подготовке к экзамену. </w:t></w:r><w:br/><w:r><w:rPr/><w:t xml:space="preserve">Практические занятия по курсу «Политический маркетинг» ориентированы на то, чтобы студенты имели возможность освоить теоретические знания по планированию, организации и проведению маркетинговых политических, избирательных кампаний, а также приобрести умения и навыки в данной области, реализовать свой творческий потенциал.</w:t></w:r><w:br/><w:r><w:rPr/><w:t xml:space="preserve">При подготовке к практическому занятию студент должен ознакомиться с планом занятия, в котором указано, какие вопросы и проблемы будут обсуждаться и какая литература рекомендуется по каждому из рассматриваемых вопросов. При подготовке к практическому занятию следует просмотреть соответствующие разделы учебников, другую рекомендуемую литературу, составить планы и конспекты ответов на вопросы практического занятия. Студент должен быть готов ответить по каждому вопросу, делать дополнения, принимать участие в обсуждении вопросов и проблем, вынесенных на практическое занятие. </w:t></w:r><w:br/><w:r><w:rPr/><w:t xml:space="preserve">Список литературы, содержащийся в рабочей программе, носит справочный характер и дает студенту представление о публикациях по заявленным темам дисциплины. Предлагаемый список включает в себя основную и дополнительную литературу. Основная и дополнительная литература – необходимый минимум, в который включены базовые учебники и учебные пособия по курсу, из которых студент может почерпнуть необходимый материал для подготовки к занятиям, текущему контролю и промежуточной аттестации. При этом необходимо учитывать, что разные авторы придерживаются разных подходов к существу рассматриваемых на практическом занятии проблем. Поэтому по возможности студент должен ознакомиться с точкой зрения различных авторов, их подходами и аргументацией. В список предлагаемой к плану практического занятия дополнительно рекомендуемой литературы могут быть включены монографии и публикации в периодических изданиях, которые помогут студенту более глубоко и детально изучить рассматриваемые темы, подготовить интересный доклад. Кроме того, знание студентом дополнительно рекомендуемой литературы является подтверждением успешного усвоения курса и приветствуется преподавателем.</w:t></w:r><w:br/><w:r><w:rPr/><w:t xml:space="preserve">С целью более глубокого усвоения изучаемого курса, формирования навыков практической деятельности и умения применять теоретические знания на практике, учебным планом предусмотрена самостоятельная работа студентов. Самостоятельная работа предполагает: повторение пройденного материала по конспектам лекций, ознакомление с рекомендованным списком литературы, подготовка докладов (устных выступлений, сообщений, презентаций) по предложенным темам практических занятий, решение кейсовых заданий. Для полноценной самостоятельной работы студентов рекомендуется использовать Интернет ресурсы. В глобальной сети имеются различные материалы по маркетингу и политическому маркетингу, в том числе в области политических технологий</w:t></w:r></w:p><w:p><w:pPr/><w:r><w:rPr/><w:t xml:space="preserve"> Темы и вопросы  самостоятельных занятий:</w:t></w:r></w:p><w:p><w:pPr/></w:p><w:p><w:pPr><w:jc w:val="both"/><w:ind w:left="0" w:right="0" w:firstLine="570" w:hanging="0"/><w:spacing w:before="240" w:after="240"/></w:pPr><w:r><w:rPr><w:b w:val="1"/><w:bCs w:val="1"/></w:rPr><w:t xml:space="preserve">7. Методические рекомендации преподавателям по дисциплине</w:t></w:r></w:p><w:p><w:pPr/><w:br/><w:r><w:rPr/><w:t xml:space="preserve">При подготовке к занятию преподаватель, ведущий семинарские занятия, должен внимательно ознакомиться с учебно-методическим комплексом по дисциплине и уточнить план его проведения. Более того необходимо ознакомиться с новыми публикациями по теме семинара и дополнительной литературы по</w:t></w:r><w:br/><w:r><w:rPr/><w:t xml:space="preserve">вопросам плана занятия. Оказывать методическую помощь студентам в подготовке докладов и рефератов.</w:t></w:r><w:br/><w:r><w:rPr/><w:t xml:space="preserve">В ходе семинара во вступительном слове преподаватель должен раскрыть теоретическую и практическую значимость темы семинарского занятия, определить порядок его проведения, время на обсуждение каждого учебного вопроса. Дать возможность выступить всем желающим, а также предложить выступить тем студентам, которые по тем или иным причинам пропустили лекционное занятие или проявляют пассивность. Целесообразно в ходе обсуждения</w:t></w:r><w:br/><w:r><w:rPr/><w:t xml:space="preserve">учебных вопросов задавать выступающим и аудитории дополнительные и уточняющие вопросы с целью выяснения их позиций по существу обсуждаемых проблем. Поощрять выступления с места в виде кратких дополнений и постановки вопросов выступающим и преподавателю. Для наглядности и закрепления изучаемого материала преподаватель может использовать таблицы, схемы и т.д.</w:t></w:r><w:br/><w:r><w:rPr/><w:t xml:space="preserve">В заключительной части семинарского занятия следует подвести его итоги: дать объективную оценку выступлений каждого студента и учебной группы</w:t></w:r><w:br/><w:r><w:rPr/><w:t xml:space="preserve">в целом. Раскрыть положительные стороны и недостатки проведенного семинарского занятия. Ответить на вопросы студентов. Назвать тему очередного занятия.</w:t></w:r><w:br/><w:r><w:rPr/><w:t xml:space="preserve">К тому же преподаватель обязан проводить групповые и индивидуальные консультации студентов по вопросам, возникающим у студентов в ходе их подготовки к текущей и промежуточной аттестации по  дисциплине « Политический  маркетинг», рекомендовать в помощь учебные и другие материалы, а также справочную литературу.</w:t></w:r></w:p><w:p><w:pPr><w:jc w:val="both"/><w:ind w:left="0" w:right="0" w:firstLine="570" w:hanging="0"/><w:spacing w:before="240" w:after="240"/></w:pPr><w:r><w:rPr><w:b w:val="1"/><w:bCs w:val="1"/></w:rPr><w:t xml:space="preserve">8. Учебно-методическое и информационное обеспечение дисциплины</w:t></w:r></w:p><w:p><w:pPr><w:jc w:val="left"/><w:ind w:left="0" w:right="0" w:firstLine="0" w:hanging="0"/><w:spacing w:before="280" w:after="280"/></w:pPr><w:r><w:rPr/><w:t xml:space="preserve">Библиографический список документов</w:t></w:r></w:p><w:p><w:pPr><w:jc w:val="both"/><w:ind w:left="0" w:right="0" w:firstLine="570" w:hanging="0"/><w:spacing w:before="240" w:after="240"/></w:pPr><w:r><w:rPr><w:b w:val="1"/><w:bCs w:val="1"/></w:rPr><w:t xml:space="preserve">8.1. Основная литература:</w:t></w:r></w:p><w:p><w:pPr/><w:r><w:rPr/><w:t xml:space="preserve">Недяк, И. Л. Политический маркетинг : основы теории / И. Л. Недяк ; Рос. акад. наук, Ин-т социологии. - Москва : Весь Мир, 2008. - 347 с. : ил., табл. ; 21 см. - Примеч. в конце гл. - ISBN 978-5-7777-0329-3</w:t></w:r><w:hyperlink r:id="rId7" w:history="1"><w:r><w:rPr/><w:t xml:space="preserve"> </w:t></w:r></w:hyperlink><w:r><w:rPr/><w:t xml:space="preserve"> 1 экз.</w:t></w:r></w:p><w:p><w:pPr/><w:r><w:rPr/><w:t xml:space="preserve">Недяк, И.Л. Политический маркетинг. Основы теории / И.Л. Недяк. - Москва : Весь Мир, 2008. - 352 с. - ISBN 978-5-7777-0329-3 ; То же [Электронный ресурс]. - URL: </w:t></w:r><w:hyperlink r:id="rId8" w:history="1"><w:r><w:rPr/><w:t xml:space="preserve">http://biblioclub.ru/index.php?page=book&amp;id=229711</w:t></w:r></w:hyperlink></w:p><w:p><w:pPr><w:jc w:val="both"/><w:ind w:left="0" w:right="0" w:firstLine="570" w:hanging="0"/><w:spacing w:before="240" w:after="240"/></w:pPr><w:r><w:rPr><w:b w:val="1"/><w:bCs w:val="1"/></w:rPr><w:t xml:space="preserve">8.2. Дополнительная литература:</w:t></w:r></w:p><w:p><w:pPr/><w:r><w:rPr/><w:t xml:space="preserve">Нежданов, Д. В. Политический маркетинг: вчера, сегодня, завтра / Нежданов Д. В. ; отв. ред. Ю. Г. Ершов. - Санкт-Петербург : Питер, 2004. - 157 с. : ил. ; 20 см. - (Библиотека политического консультирования). - Библиогр.: с. 150-154. - ISBN 5-94723-692-3</w:t></w:r><w:hyperlink r:id="rId9" w:history="1"><w:r><w:rPr/><w:t xml:space="preserve"> </w:t></w:r></w:hyperlink><w:r><w:rPr/><w:t xml:space="preserve"> 1 экз.</w:t></w:r></w:p><w:p><w:pPr/><w:r><w:rPr/><w:t xml:space="preserve">Недяк, И. Л. Политический маркетинг / И. Л. Недяк // </w:t></w:r><w:hyperlink r:id="rId10" w:history="1"><w:r><w:rPr/><w:t xml:space="preserve">Полис: Политические исследования. - 2010. - N 3. - С. 144-155. - ISSN 0321-2017</w:t></w:r></w:hyperlink><w:r><w:rPr/><w:t xml:space="preserve"> . - (С точки зрения политолога). - Библиогр.: с. 154-155</w:t></w:r></w:p><w:p><w:pPr><w:jc w:val="both"/><w:ind w:left="0" w:right="0" w:firstLine="570" w:hanging="0"/><w:spacing w:before="240" w:after="240"/></w:pPr><w:r><w:rPr><w:b w:val="1"/><w:bCs w:val="1"/></w:rPr><w:t xml:space="preserve">8.3. Программное обеспечение и Интернет-ресурсы:</w:t></w:r></w:p><w:p><w:pPr><w:jc w:val="both"/><w:ind w:left="0" w:right="0" w:firstLine="570" w:hanging="0"/><w:spacing w:before="240" w:after="240"/></w:pPr><w:r><w:rPr><w:b w:val="1"/><w:bCs w:val="1"/></w:rPr><w:t xml:space="preserve">8.4. Информационное обеспечение дисциплины в системе электронного (дистанционного) обучения</w:t></w:r></w:p><w:p><w:pPr><w:jc w:val="both"/><w:ind w:left="0" w:right="0" w:firstLine="570" w:hanging="0"/><w:spacing w:before="240" w:after="240"/></w:pPr><w:r><w:rPr><w:b w:val="1"/><w:bCs w:val="1"/></w:rPr><w:t xml:space="preserve">9. Материально-техническое обеспечение дисциплины</w:t></w:r></w:p><w:p><w:pPr><w:jc w:val="both"/><w:ind w:left="0" w:right="0" w:firstLine="570" w:hanging="0"/><w:spacing w:before="0" w:after="0"/></w:pPr><w:r><w:rPr/>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</w:r></w:p><w:p><w:pPr><w:jc w:val="both"/><w:ind w:left="0" w:right="0" w:firstLine="570" w:hanging="0"/><w:spacing w:before="0" w:after="0"/></w:pPr><w:r><w:rPr/><w:t xml:space="preserve">Минимально-необходимый перечень для информационно-технического и материально-технического обеспечения дисциплины:</w:t></w:r></w:p><w:p><w:pPr><w:numPr><w:ilvl w:val="0"/><w:numId w:val="2"/></w:numPr></w:pPr><w:r><w:rPr/>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</w:r></w:p><w:p><w:pPr><w:numPr><w:ilvl w:val="0"/><w:numId w:val="2"/></w:numPr></w:pPr><w:r><w:rPr/>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</w:r></w:p><w:p><w:pPr><w:jc w:val="left"/><w:ind w:left="0" w:right="0" w:firstLine="0" w:hanging="0"/><w:spacing w:before="280" w:after="280"/></w:pPr><w:r><w:rPr/><w:t xml:space="preserve">Дата «_____» _________ 2020 г.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16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509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325B6F" TargetMode="External"/><Relationship Id="rId8" Type="http://schemas.openxmlformats.org/officeDocument/2006/relationships/hyperlink" Target="http://biblioclub.ru/index.php?page=book&amp;id=229711" TargetMode="External"/><Relationship Id="rId9" Type="http://schemas.openxmlformats.org/officeDocument/2006/relationships/hyperlink" Target="http://foliant.ru/catalog/psulibr?SHOW_ONE_BOOK+11AD9F" TargetMode="External"/><Relationship Id="rId10" Type="http://schemas.openxmlformats.org/officeDocument/2006/relationships/hyperlink" Target="http://foliant.ru/catalog/psulibr?BOOK_UP+000C31+3A97D2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2026-04-20T22:38:54+03:00</dcterms:created>
  <dcterms:modified xsi:type="dcterms:W3CDTF">2026-04-20T22:38:54+03:00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