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3100" w:type="dxa"/>
            <w:noWrap/>
          </w:tcPr>
          <w:p>
            <w:pPr/>
            <w:r>
              <w:rPr>
                <w:b w:val="1"/>
                <w:bCs w:val="1"/>
                <w:i w:val="1"/>
                <w:iCs w:val="1"/>
              </w:rPr>
              <w:t xml:space="preserve">Знать:</w:t>
            </w:r>
          </w:p>
          <w:p>
            <w:pPr>
              <w:jc w:val="numTab"/>
              <w:ind w:left="0" w:right="0" w:firstLine="0" w:hanging="0"/>
            </w:pPr>
            <w:r>
              <w:rPr/>
              <w:t xml:space="preserve">основные подходы, методы и средства сбора, хранения и обработки информации, используемой для целей моделирования производственных процессов</w:t>
            </w:r>
          </w:p>
          <w:p/>
          <w:p>
            <w:pPr/>
            <w:r>
              <w:rPr>
                <w:b w:val="1"/>
                <w:bCs w:val="1"/>
                <w:i w:val="1"/>
                <w:iCs w:val="1"/>
              </w:rPr>
              <w:t xml:space="preserve">Уметь:</w:t>
            </w:r>
          </w:p>
          <w:p>
            <w:pPr>
              <w:jc w:val="numTab"/>
              <w:ind w:left="0" w:right="0" w:firstLine="0" w:hanging="0"/>
            </w:pPr>
            <w:r>
              <w:rPr/>
              <w:t xml:space="preserve">использовать на практике различные средства информационного обеспечения, моделирования и анализа производственных процессов</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работы в компьютерных средах моделирования и анализа производственных процессов таких, как ARIS Toolset</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Способность проводить технико-экономический анализ, комплексно обосновывать принимаемые и реализуемые решения, изыскивать возможности сокращения цикла выполнения работ, содействовать подготовке процесса их выполнения, обеспечению необходимыми техническими данными, материалами, оборудованием</w:t>
            </w:r>
          </w:p>
        </w:tc>
        <w:tc>
          <w:tcPr>
            <w:tcW w:w="3100" w:type="dxa"/>
            <w:noWrap/>
          </w:tcPr>
          <w:p>
            <w:pPr/>
            <w:r>
              <w:rPr>
                <w:b w:val="1"/>
                <w:bCs w:val="1"/>
                <w:i w:val="1"/>
                <w:iCs w:val="1"/>
              </w:rPr>
              <w:t xml:space="preserve">Знать:</w:t>
            </w:r>
          </w:p>
          <w:p>
            <w:pPr>
              <w:jc w:val="numTab"/>
              <w:ind w:left="0" w:right="0" w:firstLine="0" w:hanging="0"/>
            </w:pPr>
            <w:r>
              <w:rPr/>
              <w:t xml:space="preserve">нормативные документы для технико-экономического анализа и обоснования принимаемых и реализуемых решений при  сокращении цикла выполнения работ,  подготовке процесса их выполнения, обеспечения необходимыми техническими данными, материалами, оборудованием</w:t>
            </w:r>
          </w:p>
          <w:p/>
          <w:p>
            <w:pPr/>
            <w:r>
              <w:rPr>
                <w:b w:val="1"/>
                <w:bCs w:val="1"/>
                <w:i w:val="1"/>
                <w:iCs w:val="1"/>
              </w:rPr>
              <w:t xml:space="preserve">Уметь:</w:t>
            </w:r>
          </w:p>
          <w:p>
            <w:pPr>
              <w:jc w:val="numTab"/>
              <w:ind w:left="0" w:right="0" w:firstLine="0" w:hanging="0"/>
            </w:pPr>
            <w:r>
              <w:rPr/>
              <w:t xml:space="preserve">разрабатывать нормативные документы для технико-экономического анализа и обоснования принимаемых и реализуемых решений при  сокращении цикла выполнения работ,  подготовке процесса их выполнения, обеспечения необходимыми техническими данными, материалами, оборудованием</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проведения технико-экономического анализа и обоснования принимаемых и реализуемых решений.</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Способность к участию в составе коллектива исполнителей в проведении исследования и моделирования транспортных и транспортно-технологических процессов и их элементов</w:t>
            </w:r>
          </w:p>
        </w:tc>
        <w:tc>
          <w:tcPr>
            <w:tcW w:w="3100" w:type="dxa"/>
            <w:noWrap/>
          </w:tcPr>
          <w:p>
            <w:pPr/>
            <w:r>
              <w:rPr>
                <w:b w:val="1"/>
                <w:bCs w:val="1"/>
                <w:i w:val="1"/>
                <w:iCs w:val="1"/>
              </w:rPr>
              <w:t xml:space="preserve">Знать:</w:t>
            </w:r>
          </w:p>
          <w:p>
            <w:pPr>
              <w:jc w:val="numTab"/>
              <w:ind w:left="0" w:right="0" w:firstLine="0" w:hanging="0"/>
            </w:pPr>
            <w:r>
              <w:rPr/>
              <w:t xml:space="preserve">отличительные особенности процессного подхода его преимущества и недостатки; основы существующих методов моделирования, оптимизации, анализа транспортных и транспортно-технологических процессов</w:t>
            </w:r>
          </w:p>
          <w:p/>
          <w:p>
            <w:pPr/>
            <w:r>
              <w:rPr>
                <w:b w:val="1"/>
                <w:bCs w:val="1"/>
                <w:i w:val="1"/>
                <w:iCs w:val="1"/>
              </w:rPr>
              <w:t xml:space="preserve">Уметь:</w:t>
            </w:r>
          </w:p>
          <w:p>
            <w:pPr>
              <w:jc w:val="numTab"/>
              <w:ind w:left="0" w:right="0" w:firstLine="0" w:hanging="0"/>
            </w:pPr>
            <w:r>
              <w:rPr/>
              <w:t xml:space="preserve">создавать модели транспортных и транспортно-технологических процессов; проводить анализ построенных моделей</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проектирования и оценки транспортных и транспортно-технологических процессов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18</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Контрольная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Функциональный и процессный подходы.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 Анализ и оценка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132</w:t>
            </w:r>
          </w:p>
        </w:tc>
        <w:tc>
          <w:tcPr>
            <w:noWrap/>
          </w:tcPr>
          <w:p>
            <w:pPr>
              <w:jc w:val="left"/>
              <w:ind w:left="0" w:right="0" w:firstLine="0" w:hanging="0"/>
            </w:pPr>
            <w:r>
              <w:rPr/>
              <w:t xml:space="preserve">83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модель одного из производственных процессов, и выполняет ее усовершенствование.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w:t>
      </w:r>
    </w:p>
    <w:p>
      <w:pPr/>
    </w:p>
    <w:p>
      <w:pPr/>
      <w:r>
        <w:rPr/>
        <w:t xml:space="preserve">Пример задания:</w:t>
      </w:r>
    </w:p>
    <w:p>
      <w:pPr/>
      <w:r>
        <w:rPr/>
        <w:t xml:space="preserve">Для процесса, граф которого представлен ниже определить:</w:t>
      </w:r>
    </w:p>
    <w:p>
      <w:pPr/>
      <w:r>
        <w:rPr/>
        <w:t xml:space="preserve"> Ранние, поздние сроки и резервы времени для всех функций – составить таблицу:</w:t>
      </w:r>
    </w:p>
    <w:p>
      <w:pPr/>
      <w:r>
        <w:rPr/>
        <w:t xml:space="preserve"> </w:t>
      </w:r>
    </w:p>
    <w:tbl>
      <w:tblGrid>
        <w:gridCol w:w="87495" w:type="dxa"/>
        <w:gridCol w:w="7245" w:type="dxa"/>
        <w:gridCol w:w="107505" w:type="dxa"/>
        <w:gridCol w:w="57495" w:type="dxa"/>
        <w:gridCol w:w="2505" w:type="dxa"/>
        <w:gridCol w:w="12255" w:type="dxa"/>
      </w:tblGrid>
      <w:tblPr>
        <w:tblW w:w="9510" w:type="dxa"/>
        <w:tblLayout w:type="autofit"/>
      </w:tblPr>
      <w:tr>
        <w:trPr>
          <w:trHeight w:val="825" w:hRule="exact"/>
        </w:trPr>
        <w:tc>
          <w:tcPr>
            <w:tcW w:w="87495" w:type="dxa"/>
            <w:noWrap/>
          </w:tcPr>
          <w:p>
            <w:pPr/>
            <w:r>
              <w:rPr>
                <w:b w:val="1"/>
                <w:bCs w:val="1"/>
              </w:rPr>
              <w:t xml:space="preserve"> Функция, </w:t>
            </w:r>
            <w:r>
              <w:rPr>
                <w:b w:val="1"/>
                <w:bCs w:val="1"/>
                <w:i w:val="1"/>
                <w:iCs w:val="1"/>
              </w:rPr>
              <w:t xml:space="preserve">t</w:t>
            </w:r>
          </w:p>
        </w:tc>
        <w:tc>
          <w:tcPr>
            <w:tcW w:w="7245" w:type="dxa"/>
            <w:noWrap/>
          </w:tcPr>
          <w:p>
            <w:pPr/>
            <w:r>
              <w:rPr>
                <w:b w:val="1"/>
                <w:bCs w:val="1"/>
              </w:rPr>
              <w:t xml:space="preserve">Продолжи-тельность функции, </w:t>
            </w:r>
            <w:r>
              <w:rPr>
                <w:b w:val="1"/>
                <w:bCs w:val="1"/>
                <w:i w:val="1"/>
                <w:iCs w:val="1"/>
              </w:rPr>
              <w:t xml:space="preserve">τ</w:t>
            </w:r>
            <w:r>
              <w:rPr>
                <w:b w:val="1"/>
                <w:bCs w:val="1"/>
                <w:i w:val="1"/>
                <w:iCs w:val="1"/>
                <w:vertAlign w:val="subscript"/>
              </w:rPr>
              <w:t xml:space="preserve">t</w:t>
            </w:r>
          </w:p>
        </w:tc>
        <w:tc>
          <w:tcPr>
            <w:tcW w:w="107505" w:type="dxa"/>
            <w:noWrap/>
          </w:tcPr>
          <w:p>
            <w:pPr/>
            <w:r>
              <w:rPr>
                <w:b w:val="1"/>
                <w:bCs w:val="1"/>
              </w:rPr>
              <w:t xml:space="preserve">Событие,</w:t>
            </w:r>
          </w:p>
          <w:p>
            <w:pPr/>
            <w:r>
              <w:rPr>
                <w:b w:val="1"/>
                <w:bCs w:val="1"/>
              </w:rPr>
              <w:t xml:space="preserve"> </w:t>
            </w:r>
            <w:r>
              <w:rPr>
                <w:b w:val="1"/>
                <w:bCs w:val="1"/>
                <w:i w:val="1"/>
                <w:iCs w:val="1"/>
              </w:rPr>
              <w:t xml:space="preserve">p =</w:t>
            </w:r>
            <w:r>
              <w:rPr>
                <w:b w:val="1"/>
                <w:bCs w:val="1"/>
              </w:rPr>
              <w:t xml:space="preserve"> </w:t>
            </w:r>
            <w:r>
              <w:rPr>
                <w:b w:val="1"/>
                <w:bCs w:val="1"/>
                <w:i w:val="1"/>
                <w:iCs w:val="1"/>
              </w:rPr>
              <w:t xml:space="preserve">O</w:t>
            </w:r>
            <w:r>
              <w:rPr>
                <w:b w:val="1"/>
                <w:bCs w:val="1"/>
              </w:rPr>
              <w:t xml:space="preserve">(</w:t>
            </w:r>
            <w:r>
              <w:rPr>
                <w:b w:val="1"/>
                <w:bCs w:val="1"/>
                <w:i w:val="1"/>
                <w:iCs w:val="1"/>
              </w:rPr>
              <w:t xml:space="preserve">t</w:t>
            </w:r>
            <w:r>
              <w:rPr>
                <w:b w:val="1"/>
                <w:bCs w:val="1"/>
              </w:rPr>
              <w:t xml:space="preserve">)</w:t>
            </w:r>
          </w:p>
        </w:tc>
        <w:tc>
          <w:tcPr>
            <w:tcW w:w="57495" w:type="dxa"/>
            <w:noWrap/>
          </w:tcPr>
          <w:p>
            <w:pPr/>
            <w:r>
              <w:rPr/>
              <w:t xml:space="preserve">Ранний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min</w:t>
            </w:r>
          </w:p>
        </w:tc>
        <w:tc>
          <w:tcPr>
            <w:tcW w:w="2505" w:type="dxa"/>
            <w:noWrap/>
          </w:tcPr>
          <w:p>
            <w:pPr/>
            <w:r>
              <w:rPr/>
              <w:t xml:space="preserve">Поздний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max</w:t>
            </w:r>
          </w:p>
        </w:tc>
        <w:tc>
          <w:tcPr>
            <w:tcW w:w="12255" w:type="dxa"/>
            <w:noWrap/>
          </w:tcPr>
          <w:p>
            <w:pPr/>
            <w:r>
              <w:rPr>
                <w:b w:val="1"/>
                <w:bCs w:val="1"/>
              </w:rPr>
              <w:t xml:space="preserve">Резерв времени,</w:t>
            </w:r>
          </w:p>
          <w:p>
            <w:pPr/>
            <w:r>
              <w:rPr>
                <w:b w:val="1"/>
                <w:bCs w:val="1"/>
                <w:i w:val="1"/>
                <w:iCs w:val="1"/>
              </w:rPr>
              <w:t xml:space="preserve">R</w:t>
            </w:r>
            <w:r>
              <w:rPr>
                <w:b w:val="1"/>
                <w:bCs w:val="1"/>
                <w:i w:val="1"/>
                <w:iCs w:val="1"/>
                <w:vertAlign w:val="subscript"/>
              </w:rPr>
              <w:t xml:space="preserve">t</w:t>
            </w:r>
          </w:p>
        </w:tc>
      </w:tr>
    </w:tbl>
    <w:p>
      <w:pPr/>
      <w:r>
        <w:rPr/>
        <w:t xml:space="preserve"> </w:t>
      </w:r>
    </w:p>
    <w:p>
      <w:pPr>
        <w:numPr>
          <w:ilvl w:val="0"/>
          <w:numId w:val="1"/>
        </w:numPr>
      </w:pPr>
      <w:r>
        <w:rPr/>
        <w:t xml:space="preserve">Полные резервы времени для всех полных путей;</w:t>
      </w:r>
    </w:p>
    <w:p>
      <w:pPr>
        <w:numPr>
          <w:ilvl w:val="0"/>
          <w:numId w:val="1"/>
        </w:numPr>
      </w:pPr>
      <w:r>
        <w:rPr/>
        <w:t xml:space="preserve">Коэффициенты напряженности всех полных путей.</w:t>
      </w:r>
    </w:p>
    <w:p>
      <w:pPr/>
      <w:r>
        <w:rPr/>
        <w:t xml:space="preserve"> </w:t>
      </w:r>
    </w:p>
    <w:p>
      <w:pPr/>
      <w:r>
        <w:rPr>
          <w:u w:val="single"/>
        </w:rPr>
        <w:t xml:space="preserve"> </w:t>
      </w:r>
    </w:p>
    <w:p>
      <w:pPr/>
      <w:r>
        <w:rPr>
          <w:u w:val="single"/>
        </w:rPr>
        <w:t xml:space="preserve">Граф процесса:</w:t>
      </w:r>
    </w:p>
    <w:p>
      <w:pPr/>
      <w:r>
        <w:rPr>
          <w:u w:val="single"/>
        </w:rPr>
        <w:t xml:space="preserve"> </w:t>
      </w:r>
    </w:p>
    <w:p>
      <w:pPr/>
      <w:r>
        <w:rPr>
          <w:u w:val="single"/>
        </w:rPr>
        <w:t xml:space="preserve"> </w:t>
      </w:r>
    </w:p>
    <w:p>
      <w:pPr/>
      <w:r>
        <w:rPr>
          <w:u w:val="single"/>
        </w:rPr>
        <w:t xml:space="preserve">Примечание</w:t>
      </w:r>
      <w:r>
        <w:rPr/>
        <w:t xml:space="preserve">: возле каждой функции на графе указывается ожидаемое время ее выполнения</w:t>
      </w:r>
    </w:p>
    <w:p>
      <w:pPr/>
      <w:r>
        <w:rPr/>
        <w:t xml:space="preserve"> </w:t>
      </w:r>
    </w:p>
    <w:p>
      <w:pPr/>
      <w:r>
        <w:rPr/>
        <w:t xml:space="preserve">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Pr/>
    </w:p>
    <w:p/>
    <w:p>
      <w:pPr/>
      <w:r>
        <w:rPr/>
        <w:t xml:space="preserve">Тест</w:t>
      </w:r>
    </w:p>
    <w:p>
      <w:pPr/>
      <w:r>
        <w:rPr/>
        <w:t xml:space="preserve">Промежуточный тест выполняется студентами течение сессии.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и лабораторные занятия проходят на сессии. Лабораторные работы выполняются в компьютерном классе. Контрольная работа выполняется в течение сессии по мере освоения необходимого материала. Кроме того, предполагается промежуточное тестирование, проводимое на одном из лабораторных занятий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выданным преподавателем. Работы, выполненные студентом по чужому варианту, к проверке не принимаются.</w:t>
      </w:r>
    </w:p>
    <w:p>
      <w:pPr/>
      <w:r>
        <w:rPr/>
        <w:t xml:space="preserve">Контрольные работы выполняются в тетрадях.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3 и 4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сессии проводится контроль посещаемости.</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проводятся в компьютерном классе (ауд. 212). На компьютерах должен быть установлен пакет программ ARIS.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Перед началом лабораторных занятий необходимо назначить каждому студенту один из вариантов и довести до них эту информацию.</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Кроме того, промежуточное тестирование может выполнятся дистанционно.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w:t>
      </w:r>
    </w:p>
    <w:p>
      <w:pPr/>
      <w:r>
        <w:rPr/>
        <w:t xml:space="preserve">  </w:t>
      </w:r>
    </w:p>
    <w:p>
      <w:pPr/>
      <w:r>
        <w:rPr>
          <w:b w:val="1"/>
          <w:bCs w:val="1"/>
        </w:rPr>
        <w:t xml:space="preserve">Контрольная работа</w:t>
      </w:r>
    </w:p>
    <w:p>
      <w:pPr/>
      <w:r>
        <w:rPr/>
        <w:t xml:space="preserve">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 Требования к оформлению работ см. в методических указаниях для студентов.</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программ ARISToolset 5.0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E4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8AF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854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9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2026-04-20T22:38:48+03:00</dcterms:created>
  <dcterms:modified xsi:type="dcterms:W3CDTF">2026-04-20T22:38:48+03:00</dcterms:modified>
</cp:coreProperties>
</file>

<file path=docProps/custom.xml><?xml version="1.0" encoding="utf-8"?>
<Properties xmlns="http://schemas.openxmlformats.org/officeDocument/2006/custom-properties" xmlns:vt="http://schemas.openxmlformats.org/officeDocument/2006/docPropsVTypes"/>
</file>