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Федорцова Варвара Александровна, старший преподаватель, кафедра финансов, финансового права, экономики и бухгалтерского учета; старший преподаватель, кафедра экономики, управления производством и государственного и муниципального управления; директор, Центр дополнительного экономического и юридического образования Института экономики и права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-основы государственного учета;
- задачи и функции технического надзора автомобильных транспортных средств;
- основы положения по допуску транспортных средств к эксплуатации и обязанности должностных лиц по обеспечению безопасности дорожного движения;
- порядок проведения технического осмотра автомобильных транспортных средств.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самостоятельно осваивать новые положения по допуску транспортных средств к эксплуатации.
- организовать испытания автомобилей с целью определения их технического состояния.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Общими принципами контроля технического состояния автомобилей на автотранспортных предприятиях.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методы диагностики автотранспортных средств при проведении инструментального и визуального контроля;
 - допустимые параметры технического состояния автотранспортных средств при проведении инструментального и визуального контроля во время технического осмотра;
- диагностическое оборудование, инструменты и приспособления, используемые для проведения инструментального и визуального контроля во время технического осмотра.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применять методы диагностики автотранспортных средств при проведении инструментального и визуального контроля;
 - определять параметры технического состояния автотранспортных средств при проведении инструментального и визуального контроля во время технического осмотра;
- применять диагностическое оборудование, инструменты и приспособления, для проведения инструментального и визуального контроля во время технического осмотра.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диагностики автотранспортных средств при проведении инструментального и визуального контроля;
 - навыками определения параметров технического состояния автотранспортных средств при проведении инструментального и визуального контроля во время технического осмотра;
- навыками применения диагностического оборудования, инструментов и приспособлений, используемых для проведения инструментального и визуального контроля во время технического осмотра.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&amp;quot;О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обеспечения безопасности дорожного движения. Основные направления обеспечения безопасности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обязательного страхования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состава выхлопных газов бензинового двигателя с помощью четырехкомпонентного газоанализатора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диагностическаую карту,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измерения дымности отработавших газов дизельных двигателей автомобилей с помощью дымомера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государственный стандарт РФ ГОСТ Р 51709-2001.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техническому состоянию двигателя. Методы измерений. Определение и обозначения терминов для ГОСТ Р 52160-2003.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неисправности вызывающие повышенный шум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выполнения контроля технического состояния амортизаторов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1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1"/>
        </w:numPr>
      </w:pPr>
      <w:r>
        <w:rPr/>
        <w:t xml:space="preserve">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1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1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1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1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2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2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2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2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2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2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L1 L 2 L 3 L 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L5 L6 L7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N1,N2,N3.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G</w:t>
      </w:r>
    </w:p>
    <w:p>
      <w:pPr>
        <w:numPr>
          <w:ilvl w:val="0"/>
          <w:numId w:val="2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2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2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2"/>
        </w:numPr>
      </w:pPr>
      <w:r>
        <w:rPr/>
        <w:t xml:space="preserve">Страховая сумма.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2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2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2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2"/>
        </w:numPr>
      </w:pPr>
      <w:r>
        <w:rPr/>
        <w:t xml:space="preserve">Страховая выплата.</w:t>
      </w:r>
    </w:p>
    <w:p>
      <w:pPr>
        <w:numPr>
          <w:ilvl w:val="0"/>
          <w:numId w:val="2"/>
        </w:numPr>
      </w:pPr>
      <w:r>
        <w:rPr/>
        <w:t xml:space="preserve">Прямое возмещение убытков</w:t>
      </w:r>
    </w:p>
    <w:p>
      <w:pPr>
        <w:numPr>
          <w:ilvl w:val="0"/>
          <w:numId w:val="2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2"/>
        </w:numPr>
      </w:pPr>
      <w:r>
        <w:rPr/>
        <w:t xml:space="preserve">Компенсационные выплаты</w:t>
      </w:r>
    </w:p>
    <w:p>
      <w:pPr>
        <w:numPr>
          <w:ilvl w:val="0"/>
          <w:numId w:val="2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2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2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2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2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2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2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2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2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2"/>
        </w:numPr>
      </w:pPr>
      <w:r>
        <w:rPr/>
        <w:t xml:space="preserve">Ведение реестра операторов технического осмотра. Обязанности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2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2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2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2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2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2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2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не оснащенные системами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двухкомпонентной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трехкомпонентной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2"/>
        </w:numPr>
      </w:pPr>
      <w:r>
        <w:rPr/>
        <w:t xml:space="preserve">Методы измерений.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2"/>
        </w:numPr>
      </w:pPr>
      <w:r>
        <w:rPr/>
        <w:t xml:space="preserve">Нормы дымности</w:t>
      </w:r>
    </w:p>
    <w:p>
      <w:pPr>
        <w:numPr>
          <w:ilvl w:val="0"/>
          <w:numId w:val="2"/>
        </w:numPr>
      </w:pPr>
      <w:r>
        <w:rPr/>
        <w:t xml:space="preserve">Методы контроля</w:t>
      </w:r>
    </w:p>
    <w:p>
      <w:pPr>
        <w:numPr>
          <w:ilvl w:val="0"/>
          <w:numId w:val="2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2"/>
        </w:numPr>
      </w:pPr>
      <w:r>
        <w:rPr/>
        <w:t xml:space="preserve">Допустимые уровни шума.</w:t>
      </w:r>
    </w:p>
    <w:p>
      <w:pPr>
        <w:numPr>
          <w:ilvl w:val="0"/>
          <w:numId w:val="2"/>
        </w:numPr>
      </w:pPr>
      <w:r>
        <w:rPr/>
        <w:t xml:space="preserve">Измерение уровня шума.</w:t>
      </w:r>
    </w:p>
    <w:p>
      <w:pPr>
        <w:numPr>
          <w:ilvl w:val="0"/>
          <w:numId w:val="2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2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2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2"/>
        </w:numPr>
      </w:pPr>
      <w:r>
        <w:rPr/>
        <w:t xml:space="preserve">Экологическая классификация автомобильной техники.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42 часа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ISBN 5-94087-328-6 ; То же [Электронный ресурс]. - URL: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 Пеньшин, В.С. 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ISBN 978-5-8265-1420-7 ; То же [Электронный ресурс]. - URL: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5C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A3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68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62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2026-04-20T22:38:33+03:00</dcterms:created>
  <dcterms:modified xsi:type="dcterms:W3CDTF">2026-04-20T22:38:33+03:00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