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и классификацию компьютерных сетей, принципы организации и функционирования компьютерных сетей;  возможности и особенности программного обеспечения; основные направления развития информационных технологий; возможности и принципы прикладного программного обеспечения для автоматизации проф. деятельности.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Работать в компьютерных сетях;  анализировать структуру и содержание Интернет ресурсов; использовать существующие пакеты прикладных программ для решения конкретных задач профессиональной деятельности; обеспечивать информационную безопасность деятельности.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Основными навыками применения информационно-коммуникационных технологий для решения задач организации профессиональной деятельности; навыками использования с учетом основных требований информационной безопасности, различных источников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законы фундаментальных знаний. Методы формулирования технических проблем. Методы решения технических и технологических проблем.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основные законы фундаментальных знаний.  Формулировать технические решения. Переменять технические решения.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Системой фундаментальных знаний. Методами формулирования и решения технических проблем. Методами решения технических и технологических проблем эксплуатации технологических машин.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выполнять работы в области производственной деятельности по информационному обслуживанию, основам организации производства, труда и управления производством, метрологическому обеспечению и техническому контролю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информационные системы, применяемые в прикладных хзадачах.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Решать типовые задачи управления  при помощи современных информационных
технологий и технических средств;
Выбирать информационные системы в соответствии с нуждами предприятия.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решения задач управления при помощи современных информационных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Услуги Интернет. Использование средств компьютерной графики. Технология 3D. Информационные технологии для защиты информации и сведений.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 Построение геометрических фигур. 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вариантов лабораторных работ в Microsoft Excel.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y=(x+exp(x))^2+lnx -1.8=&lt;х=&lt;1.8 х =0.4</w:t>
      </w:r>
    </w:p>
    <w:p>
      <w:pPr>
        <w:numPr>
          <w:ilvl w:val="0"/>
          <w:numId w:val="2"/>
        </w:numPr>
      </w:pPr>
      <w:r>
        <w:rPr/>
        <w:t xml:space="preserve">y=x*cosx/(x+exp(x)) -5.2=&lt;х=&lt;1.5 х=0.7</w:t>
      </w:r>
    </w:p>
    <w:p>
      <w:pPr>
        <w:numPr>
          <w:ilvl w:val="0"/>
          <w:numId w:val="2"/>
        </w:numPr>
      </w:pPr>
      <w:r>
        <w:rPr/>
        <w:t xml:space="preserve">y=(lgx^2*exp^2x)/lg3x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y=sin2x+tg3x+exp^4x -2.5=&lt;х=&lt;1.5 х=0.4</w:t>
      </w:r>
    </w:p>
    <w:p>
      <w:pPr>
        <w:numPr>
          <w:ilvl w:val="0"/>
          <w:numId w:val="2"/>
        </w:numPr>
      </w:pPr>
      <w:r>
        <w:rPr/>
        <w:t xml:space="preserve">y= l-sinx+ (ln2x+lgx) 1=&lt;х=&lt;10 х=0.5 </w:t>
      </w:r>
    </w:p>
    <w:p>
      <w:pPr>
        <w:numPr>
          <w:ilvl w:val="0"/>
          <w:numId w:val="2"/>
        </w:numPr>
      </w:pPr>
      <w:r>
        <w:rPr/>
        <w:t xml:space="preserve">y=x*expx+sinx*cosx^2 1=&lt;х=&lt;15 х=0.5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(30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  лабораторные работы. Лекции и практические занятия проходят с начала второго семестра еженедельно. Лабораторные занятия проходят с начала второго семестра и проводятся 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 Лекции  проходят с начала второго семестра еженедельно. В течение семестра проводится контроль посещаемости. Контроль проводится на каждой лекции.  Лабораторные занятия проходят с начала второго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«Информатика в профессиональной деятельности».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Кондратьев, Ю. Н. Машинная графика САПР КОМПАС-3D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7"/>
        </w:numPr>
      </w:pP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 - 47402538 от 13.09.2010.</w:t>
      </w:r>
    </w:p>
    <w:p>
      <w:pPr>
        <w:numPr>
          <w:ilvl w:val="0"/>
          <w:numId w:val="7"/>
        </w:numPr>
      </w:pPr>
      <w:r>
        <w:rPr/>
        <w:t xml:space="preserve"> MathCad </w:t>
      </w:r>
      <w:r>
        <w:rPr/>
        <w:t xml:space="preserve">Дата выдачи 10.01.2008,  лиц #401888 ( Service Contract Number 8A1451909, 8A1365719) серийный номер   SE14RYMMEV0002-FLEX-ACAD.</w:t>
      </w:r>
    </w:p>
    <w:p>
      <w:pPr>
        <w:numPr>
          <w:ilvl w:val="0"/>
          <w:numId w:val="7"/>
        </w:numPr>
      </w:pP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 - номер: С3-13-00153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2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DB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69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F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6A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AD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0EA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2026-04-21T05:50:10+03:00</dcterms:created>
  <dcterms:modified xsi:type="dcterms:W3CDTF">2026-04-21T05:50:10+03:00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