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ТОНКОСТИ ПЛОТНИЦКОГО МАСТЕРСТВА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эффективно использовать традиционные и современные материалы, конструкции, технологии, инженерные системы при разработке решений по реконструкции и реставрации архитектурного наследия, проводить их экономическое обоснование, дополнительные исследования, связанные с поиском совершенствования экологических, композиционно-художественных, технологических и иных качеств архитектурно-исторической среды</w:t>
            </w:r>
          </w:p>
        </w:tc>
        <w:tc>
          <w:tcPr>
            <w:tcW w:w="3100" w:type="dxa"/>
            <w:noWrap/>
          </w:tcPr>
          <w:p>
            <w:pPr/>
            <w:r>
              <w:rPr/>
              <w:t xml:space="preserve">ПК-3.1. Использование традиционных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ПК-3.2. Использование современных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ПК-3.3. Выполнение экономического обоснования выбора материалов конструкций, технологий, инженерных систем.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Тонкости плотницкого мастерства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Тонкости плотницкого мастерства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Материалы.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Краткие сведения о частях зданий и порядке производства строительных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Ручной плотничный инструмент и приемы работы с ним. Измерительно-разметочные инструменты. Топоры. Пилы. Инструменты для строгания. Инструменты для сверления. Инструменты для долбления. Подготовка инструмента к работе.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Механическая обработка дерева. Деревообрабатывающие станки. Электрофицированный инструмент.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Основные виды деревянных сопряжений. Наращивание. Сращивание. Сплачивание. Соединение под углом.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Материалы.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Краткие сведения о частях зданий и порядке производства строительных работ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Ручной плотничный инструмент и приемы работы с ним. Измерительно-разметочные инструменты. Топоры. Пилы. Инструменты для строгания. Инструменты для сверления. Инструменты для долбления. Подготовка инструмента к работе.</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Механическая обработка дерева. Деревообрабатывающие станки. Электрофицированный инструмент.</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виды деревянных сопряжений. Наращивание. Сращивание. Сплачивание. Соединение под углом.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 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2"/>
        </w:numPr>
      </w:pPr>
      <w:r>
        <w:rPr/>
        <w:t xml:space="preserve">самостоятельно и охотно приобретают недостающие знания из разных источников;</w:t>
      </w:r>
    </w:p>
    <w:p>
      <w:pPr>
        <w:numPr>
          <w:ilvl w:val="0"/>
          <w:numId w:val="2"/>
        </w:numPr>
      </w:pPr>
      <w:r>
        <w:rPr/>
        <w:t xml:space="preserve">учатся пользоваться приобретенными знаниями для решения познавательных и практических задач;</w:t>
      </w:r>
    </w:p>
    <w:p>
      <w:pPr>
        <w:numPr>
          <w:ilvl w:val="0"/>
          <w:numId w:val="2"/>
        </w:numPr>
      </w:pPr>
      <w:r>
        <w:rPr/>
        <w:t xml:space="preserve">приобретают коммуникативные умения, работая в различных группах;</w:t>
      </w:r>
    </w:p>
    <w:p>
      <w:pPr>
        <w:numPr>
          <w:ilvl w:val="0"/>
          <w:numId w:val="2"/>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2"/>
        </w:numPr>
      </w:pPr>
      <w:r>
        <w:rPr/>
        <w:t xml:space="preserve">развивают системное мышление.</w:t>
      </w:r>
    </w:p>
    <w:p>
      <w:pPr/>
      <w:r>
        <w:rPr/>
        <w:t xml:space="preserve"> </w:t>
      </w:r>
    </w:p>
    <w:p>
      <w:pPr>
        <w:numPr>
          <w:ilvl w:val="0"/>
          <w:numId w:val="3"/>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4"/>
        </w:numPr>
      </w:pPr>
      <w:r>
        <w:rPr/>
        <w:t xml:space="preserve">Лекция - диалог.</w:t>
      </w:r>
    </w:p>
    <w:p>
      <w:pPr/>
      <w:r>
        <w:rPr>
          <w:b w:val="1"/>
          <w:bCs w:val="1"/>
        </w:rPr>
        <w:t xml:space="preserve">4. РАБОТА В МАЛЫХ ГРУППАХ</w:t>
      </w:r>
    </w:p>
    <w:p>
      <w:pPr/>
      <w:r>
        <w:rPr/>
        <w:t xml:space="preserve"> </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Материалы.</w:t>
      </w:r>
    </w:p>
    <w:p>
      <w:pPr/>
      <w:r>
        <w:rPr/>
        <w:t xml:space="preserve">Краткие сведения о частях зданий и порядке производства строительных работ</w:t>
      </w:r>
    </w:p>
    <w:p>
      <w:pPr/>
      <w:r>
        <w:rPr/>
        <w:t xml:space="preserve">Ручной плотничный инструмент и приемы работы с ним.</w:t>
      </w:r>
    </w:p>
    <w:p>
      <w:pPr/>
      <w:r>
        <w:rPr/>
        <w:t xml:space="preserve">Измерительно-разметочные инструменты.</w:t>
      </w:r>
    </w:p>
    <w:p>
      <w:pPr/>
      <w:r>
        <w:rPr/>
        <w:t xml:space="preserve">Топоры.</w:t>
      </w:r>
    </w:p>
    <w:p>
      <w:pPr/>
      <w:r>
        <w:rPr/>
        <w:t xml:space="preserve">Пилы.</w:t>
      </w:r>
    </w:p>
    <w:p>
      <w:pPr/>
      <w:r>
        <w:rPr/>
        <w:t xml:space="preserve">Инструменты для строгания.</w:t>
      </w:r>
    </w:p>
    <w:p>
      <w:pPr/>
      <w:r>
        <w:rPr/>
        <w:t xml:space="preserve">Инструменты для сверления.</w:t>
      </w:r>
    </w:p>
    <w:p>
      <w:pPr/>
      <w:r>
        <w:rPr/>
        <w:t xml:space="preserve"> Инструменты для долбления.</w:t>
      </w:r>
    </w:p>
    <w:p>
      <w:pPr/>
      <w:r>
        <w:rPr/>
        <w:t xml:space="preserve">Подготовка инструмента к работе.</w:t>
      </w:r>
    </w:p>
    <w:p>
      <w:pPr/>
      <w:r>
        <w:rPr/>
        <w:t xml:space="preserve">Механическая обработка дерева.</w:t>
      </w:r>
    </w:p>
    <w:p>
      <w:pPr/>
      <w:r>
        <w:rPr/>
        <w:t xml:space="preserve">Деревообрабатывающие станки.</w:t>
      </w:r>
    </w:p>
    <w:p>
      <w:pPr/>
      <w:r>
        <w:rPr/>
        <w:t xml:space="preserve">Электрофицированный инструмент.</w:t>
      </w:r>
    </w:p>
    <w:p>
      <w:pPr/>
      <w:r>
        <w:rPr/>
        <w:t xml:space="preserve">Основные виды деревянных сопряжений.</w:t>
      </w:r>
    </w:p>
    <w:p>
      <w:pPr/>
      <w:r>
        <w:rPr/>
        <w:t xml:space="preserve">Наращивание.</w:t>
      </w:r>
    </w:p>
    <w:p>
      <w:pPr/>
      <w:r>
        <w:rPr/>
        <w:t xml:space="preserve">Сращивание.</w:t>
      </w:r>
    </w:p>
    <w:p>
      <w:pPr/>
      <w:r>
        <w:rPr/>
        <w:t xml:space="preserve">Сплачивание.</w:t>
      </w:r>
    </w:p>
    <w:p>
      <w:pPr/>
      <w:r>
        <w:rPr/>
        <w:t xml:space="preserve">Соединение под углом.</w:t>
      </w:r>
    </w:p>
    <w:p/>
    <w:p>
      <w:pPr/>
      <w:r>
        <w:rPr/>
        <w:t xml:space="preserve">5.2. Промежуточная аттестация проводится в виде:</w:t>
      </w:r>
    </w:p>
    <w:p/>
    <w:p>
      <w:pPr/>
      <w:r>
        <w:rPr/>
        <w:t xml:space="preserve">Зачет</w:t>
      </w:r>
    </w:p>
    <w:p>
      <w:pPr/>
      <w:r>
        <w:rPr/>
        <w:t xml:space="preserve">Материалы.</w:t>
      </w:r>
    </w:p>
    <w:p>
      <w:pPr/>
      <w:r>
        <w:rPr/>
        <w:t xml:space="preserve">Краткие сведения о частях зданий и порядке производства строительных работ</w:t>
      </w:r>
    </w:p>
    <w:p>
      <w:pPr/>
      <w:r>
        <w:rPr/>
        <w:t xml:space="preserve">Ручной плотничный инструмент и приемы работы с ним.</w:t>
      </w:r>
    </w:p>
    <w:p>
      <w:pPr/>
      <w:r>
        <w:rPr/>
        <w:t xml:space="preserve">Измерительно-разметочные инструменты.</w:t>
      </w:r>
    </w:p>
    <w:p>
      <w:pPr/>
      <w:r>
        <w:rPr/>
        <w:t xml:space="preserve">Топоры.</w:t>
      </w:r>
    </w:p>
    <w:p>
      <w:pPr/>
      <w:r>
        <w:rPr/>
        <w:t xml:space="preserve">Пилы.</w:t>
      </w:r>
    </w:p>
    <w:p>
      <w:pPr/>
      <w:r>
        <w:rPr/>
        <w:t xml:space="preserve">Инструменты для строгания.</w:t>
      </w:r>
    </w:p>
    <w:p>
      <w:pPr/>
      <w:r>
        <w:rPr/>
        <w:t xml:space="preserve">Инструменты для сверления.</w:t>
      </w:r>
    </w:p>
    <w:p>
      <w:pPr/>
      <w:r>
        <w:rPr/>
        <w:t xml:space="preserve"> Инструменты для долбления.</w:t>
      </w:r>
    </w:p>
    <w:p>
      <w:pPr/>
      <w:r>
        <w:rPr/>
        <w:t xml:space="preserve">Подготовка инструмента к работе.</w:t>
      </w:r>
    </w:p>
    <w:p>
      <w:pPr/>
      <w:r>
        <w:rPr/>
        <w:t xml:space="preserve">Механическая обработка дерева.</w:t>
      </w:r>
    </w:p>
    <w:p>
      <w:pPr/>
      <w:r>
        <w:rPr/>
        <w:t xml:space="preserve">Деревообрабатывающие станки.</w:t>
      </w:r>
    </w:p>
    <w:p>
      <w:pPr/>
      <w:r>
        <w:rPr/>
        <w:t xml:space="preserve">Электрофицированный инструмент.</w:t>
      </w:r>
    </w:p>
    <w:p>
      <w:pPr/>
      <w:r>
        <w:rPr/>
        <w:t xml:space="preserve">Основные виды деревянных сопряжений.</w:t>
      </w:r>
    </w:p>
    <w:p>
      <w:pPr/>
      <w:r>
        <w:rPr/>
        <w:t xml:space="preserve">Основные виды деревянных сопряжений. Наращивание.</w:t>
      </w:r>
    </w:p>
    <w:p>
      <w:pPr/>
      <w:r>
        <w:rPr/>
        <w:t xml:space="preserve">Основные виды деревянных сопряжений. Сращивание.</w:t>
      </w:r>
    </w:p>
    <w:p>
      <w:pPr/>
      <w:r>
        <w:rPr/>
        <w:t xml:space="preserve">Основные виды деревянных сопряжений. Сплачивание.</w:t>
      </w:r>
    </w:p>
    <w:p>
      <w:pPr/>
      <w:r>
        <w:rPr/>
        <w:t xml:space="preserve">Основные виды деревянных сопряжений. Соединение под углом.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Крюков, Р.В. Столярное и плотницкое дело: конспект лекций / Р.В. Крюков. – Москва : А-Приор, 2008. – 302 с. – Режим доступа: по подписке. – URL: </w:t>
      </w:r>
      <w:hyperlink r:id="rId7" w:history="1">
        <w:r>
          <w:rPr/>
          <w:t xml:space="preserve">https://biblioclub.ru/index.php?page=book&amp;id=56356</w:t>
        </w:r>
      </w:hyperlink>
      <w:r>
        <w:rPr/>
        <w:t xml:space="preserve"> (дата обращения: 20.11.2020). – ISBN 978-5-384-00100-3. – Текст : электронный.</w:t>
      </w:r>
    </w:p>
    <w:p>
      <w:pPr/>
      <w:r>
        <w:rPr/>
        <w:t xml:space="preserve">Смолеевский, С.Е. Основы материаловедения в художественной обработке древесины: учебно-методическое пособие / С.Е. Смолеевский. – Москва ; Берлин : Директ-Медиа, 2016. – 91 с. : ил. – Режим доступа: по подписке. – URL: </w:t>
      </w:r>
    </w:p>
    <w:p>
      <w:pPr/>
      <w:hyperlink r:id="rId8" w:history="1">
        <w:r>
          <w:rPr/>
          <w:t xml:space="preserve">https://biblioclub.ru/index.php?page=book&amp;id=434974</w:t>
        </w:r>
      </w:hyperlink>
    </w:p>
    <w:p>
      <w:pPr/>
      <w:r>
        <w:rPr/>
        <w:t xml:space="preserve"> (дата обращения: 20.11.2020). – Библиогр. в кн. – ISBN 978-5-4475-6081-2. – DOI 10.23681/434974.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Е. В. Ходаковский. Деревянная церковная архитектура Русского Севера XIX — начала XX века. Летопись храмостроительства / Санкт-Петербург: Коло, 2020. 344 с.: ил.</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1E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A0F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52BE2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8793A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9B0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56356" TargetMode="External"/><Relationship Id="rId8" Type="http://schemas.openxmlformats.org/officeDocument/2006/relationships/hyperlink" Target="https://biblioclub.ru/index.php?page=book&amp;id=434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2026-04-20T22:39:01+03:00</dcterms:created>
  <dcterms:modified xsi:type="dcterms:W3CDTF">2026-04-20T22:39:01+03:00</dcterms:modified>
</cp:coreProperties>
</file>

<file path=docProps/custom.xml><?xml version="1.0" encoding="utf-8"?>
<Properties xmlns="http://schemas.openxmlformats.org/officeDocument/2006/custom-properties" xmlns:vt="http://schemas.openxmlformats.org/officeDocument/2006/docPropsVTypes"/>
</file>