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 РЕСТАВРАЦИИ. МЕТОДИЧЕСКИЕ ОСНОВЫ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w:t>
            </w:r>
          </w:p>
        </w:tc>
        <w:tc>
          <w:tcPr>
            <w:tcW w:w="3100" w:type="dxa"/>
            <w:noWrap/>
          </w:tcPr>
          <w:p>
            <w:pPr/>
            <w:r>
              <w:rPr/>
              <w:t xml:space="preserve">ПК-4.1.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w:t>
            </w:r>
          </w:p>
          <w:p/>
          <w:p>
            <w:pPr/>
            <w:r>
              <w:rPr/>
              <w:t xml:space="preserve">ПК-4.2. Знает основы реставрации архитектурного наследия и реконструкции исторической среды;</w:t>
            </w:r>
          </w:p>
          <w:p/>
          <w:p>
            <w:pPr/>
            <w:r>
              <w:rPr/>
              <w:t xml:space="preserve">ПК-4.3. Умеет реконструировать объекты в городском контексте;</w:t>
            </w:r>
          </w:p>
          <w:p/>
          <w:p>
            <w:pPr/>
            <w:r>
              <w:rPr/>
              <w:t xml:space="preserve">ПК-4.4. Владеет приемами и методами реставрационной и реконструкционной работы.</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Проект реставрации. Методические основы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Архитектурно-реставрационное проектирование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принципы современной реставрационной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Научно-реставрационное проектирование как часть процесса сохранения объектов наследия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Предварительные работы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Комплексные научные исследования.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Историко-архивные и библиографические исследования, проводимые в составе комплексных научных исследований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принципы современной реставрационной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Научно-реставрационное проектирование как часть процесса сохранения объектов наследия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Предварительные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Комплексные научные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Историко-архивные и библиографические исследования, проводимые в составе комплексных научных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Архитектурное проектирование : учебно-методическое пособие / сост. Т.О. Цитман ; Государственное автономное образовательное учреждение Астраханской области высшего профессионального образования «Астраханский инженерно-строительный институт», Кафедра «Архитектуры и градостроительства». – Астрахань : Астраханский инженерно-строительный институт, 2013. – 102 с. : табл., ил. – Режим доступа: по подписке. – URL:</w:t>
      </w:r>
    </w:p>
    <w:p>
      <w:pPr/>
      <w:r>
        <w:rPr/>
        <w:t xml:space="preserve"> </w:t>
      </w:r>
    </w:p>
    <w:p>
      <w:pPr/>
      <w:hyperlink r:id="rId7" w:history="1">
        <w:r>
          <w:rPr/>
          <w:t xml:space="preserve">http://biblioclub.ru/index.php?page=book&amp;id=438896</w:t>
        </w:r>
      </w:hyperlink>
    </w:p>
    <w:p>
      <w:pPr/>
      <w:r>
        <w:rPr/>
        <w:t xml:space="preserve"> </w:t>
      </w:r>
    </w:p>
    <w:p>
      <w:pPr/>
      <w:r>
        <w:rPr/>
        <w:t xml:space="preserve">(дата обращения: 07.10.2020). – Библиогр. в кн. – Текст : электронный.</w:t>
      </w:r>
    </w:p>
    <w:p>
      <w:pPr/>
      <w:r>
        <w:rPr/>
        <w:t xml:space="preserve">Комплексный методический подход к проектированию зданий в исторической среде: методические рекомендации / сост. А.А. Худин, О.В. Орельская ; Федеральное агентство по образованию, Нижегородский государственный архитектурно-строительный университет и др. – Нижний Новгород : Нижегородский государственный архитектурно-строительный университет (ННГАСУ), 2011. – 45 с. : ил. – Режим доступа: по подписке. – URL: </w:t>
      </w:r>
    </w:p>
    <w:p>
      <w:pPr/>
      <w:hyperlink r:id="rId8" w:history="1">
        <w:r>
          <w:rPr/>
          <w:t xml:space="preserve">http://biblioclub.ru/index.php?page=book&amp;id=427470</w:t>
        </w:r>
      </w:hyperlink>
    </w:p>
    <w:p>
      <w:pPr/>
      <w:r>
        <w:rPr/>
        <w:t xml:space="preserve"> (дата обращения: 07.10.2020). – Библиогр. в кн.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Реконструкция исторически сложившихся территорий центра крупнейшего города : учебное пособие. – Самара : Самарский государственный архитектурно-строительный университет, 2012. – 50 с. – Режим доступа: по подписке. – URL: </w:t>
      </w:r>
      <w:hyperlink r:id="rId9" w:history="1">
        <w:r>
          <w:rPr/>
          <w:t xml:space="preserve">http://biblioclub.ru/index.php?page=book&amp;id=143644</w:t>
        </w:r>
      </w:hyperlink>
      <w:r>
        <w:rPr/>
        <w:t xml:space="preserve"> (дата обращения: 07.10.2020). – ISBN 978-5-9585-0514-2. – Текст : электронный.</w:t>
      </w:r>
    </w:p>
    <w:p>
      <w:pPr/>
      <w:r>
        <w:rPr/>
        <w:t xml:space="preserve">Конюков, А.Г. Курс лекций по дисциплине «Реконструкция зданий, сооружений и застройки» : методическое пособие / А.Г. Конюков ; Федеральное агентство по образованию, Нижегородский государственный архитектурно-строительный университет. – Нижний Новгород : Нижегородский государственный архитектурно-строительный университет (ННГАСУ), 2010. – 63 с. – Режим доступа: по подписке. – URL: </w:t>
      </w:r>
      <w:hyperlink r:id="rId10" w:history="1">
        <w:r>
          <w:rPr/>
          <w:t xml:space="preserve">http://biblioclub.ru/index.php?page=book&amp;id=427260</w:t>
        </w:r>
      </w:hyperlink>
      <w:r>
        <w:rPr/>
        <w:t xml:space="preserve"> (дата обращения: 07.10.2020). – Библиогр. в кн.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1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5BAA8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72D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A7780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0652C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05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8896" TargetMode="External"/><Relationship Id="rId8" Type="http://schemas.openxmlformats.org/officeDocument/2006/relationships/hyperlink" Target="http://biblioclub.ru/index.php?page=book&amp;id=427470" TargetMode="External"/><Relationship Id="rId9" Type="http://schemas.openxmlformats.org/officeDocument/2006/relationships/hyperlink" Target="http://biblioclub.ru/index.php?page=book&amp;id=143644" TargetMode="External"/><Relationship Id="rId10" Type="http://schemas.openxmlformats.org/officeDocument/2006/relationships/hyperlink" Target="http://biblioclub.ru/index.php?page=book&amp;id=427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2026-04-21T07:20:34+03:00</dcterms:created>
  <dcterms:modified xsi:type="dcterms:W3CDTF">2026-04-21T07:20:34+03:00</dcterms:modified>
</cp:coreProperties>
</file>

<file path=docProps/custom.xml><?xml version="1.0" encoding="utf-8"?>
<Properties xmlns="http://schemas.openxmlformats.org/officeDocument/2006/custom-properties" xmlns:vt="http://schemas.openxmlformats.org/officeDocument/2006/docPropsVTypes"/>
</file>