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2020-2022</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СОЗДАНИЕ И РЕСТАВРАЦИЯ ДЕРЕВЯННЫХ ЛОДОК</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08.04.01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«Реставрация и приспособление для современного использования объектов деревянной архитектуры»</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 482 (с изменениями от 26.11.2020 №1456) и учебным планом по направлению подготовки магистратуры 08.04.01 Строительство  (профиль «Реставрация и приспособление для современного использования объектов деревянной архитектуры»).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Способен эффективно использовать традиционные и современные материалы, конструкции, технологии, инженерные системы при разработке решений по реконструкции и реставрации архитектурного наследия, проводить их экономическое обоснование, дополнительные исследования, связанные с поиском совершенствования экологических, композиционно-художественных, технологических и иных качеств архитектурно-исторической среды</w:t>
            </w:r>
          </w:p>
        </w:tc>
        <w:tc>
          <w:tcPr>
            <w:tcW w:w="3100" w:type="dxa"/>
            <w:noWrap/>
          </w:tcPr>
          <w:p>
            <w:pPr/>
            <w:r>
              <w:rPr/>
              <w:t xml:space="preserve">ПК-3.1. Использование традиционных материалов конструкций, технологий, инженерных систем при разработке решений по реконструкции и реставрации архитектурного наследия;</w:t>
            </w:r>
          </w:p>
          <w:p/>
          <w:p>
            <w:pPr/>
            <w:r>
              <w:rPr/>
              <w:t xml:space="preserve">ПК-3.2. Использование современных материалов, конструкций, технологий, инженерных систем при разработке решений по реконструкции и реставрации архитектурного наследия;</w:t>
            </w:r>
          </w:p>
          <w:p/>
          <w:p>
            <w:pPr/>
            <w:r>
              <w:rPr/>
              <w:t xml:space="preserve">ПК-3.3. Выполнение экономического обоснования выбора материалов конструкций, технологий, инженерных систем.</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Создание и реставрация деревянных лодок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РЕМОНТ И РЕСТАВРАЦИЯ ДЕРЕВЯННЫХ ЛОДОК</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Реферат;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Типы деревянных лодок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Лодка &amp;quot;Кижанка&amp;quot;, история, конструкция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Оценка возможности проведения ремонта или восстановления лодки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Осмотр и оценка  Анализ конструкции на предмет потери жёсткости, сухого гниения, и выработка стратегии  ремонта.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Ремонт локальных повреждений в результате сухого гниения  Ремонт небольших повреждений в результате сухого гниения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 Ремонт конструктивного каркаса   Ремонт и замена повреждённых элементов набора, переборок, штевней, привальных брусьев и  килей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Ремонт реечной обшивки корпуса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 Защита и обслуживание деревянных лодко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Использование смолы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Типы деревянных лодок</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Лодка &amp;quot;Кижанка&amp;quot;, история, конструкция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Оценка возможности проведения ремонта или восстановления лодки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Осмотр и оценка  Анализ конструкции на предмет потери жёсткости, сухого гниения, и выработка стратегии  ремонта.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Ремонт локальных повреждений в результате сухого гниения  Ремонт небольших повреждений в результате сухого гниения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Защита и обслуживание деревянных лодок</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Использование смолы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Лекция и лекция-диалог.</w:t>
      </w:r>
    </w:p>
    <w:p>
      <w:pPr/>
      <w:r>
        <w:rPr/>
        <w:t xml:space="preserve">Проведение лекционных занятий по дисциплине Строительные машины основывается на активном методе обучения, при которой обучающиеся не пассивные слушатели, а активные участники занятия, отвечающие на вопросы преподавателя. Вопросы преподавателя нацелены на активизацию процессов усвоения материала, а также на развитие логического мышления. Преподаватель заранее намечает список вопросов, стимулирующих ассоциативное мышление и установления связей с ранее освоенным материалом.</w:t>
      </w:r>
    </w:p>
    <w:p>
      <w:pPr/>
      <w:r>
        <w:rPr/>
        <w:t xml:space="preserve">Практические занятия проводятся на основе реализации метода обучения действием: определяются проблемные области, формируются группы. При проведении практических занятий преследуются следующие цели: применение знаний отдельных дисциплин и креативных методов для решения проблем; отработка у обучающихся навыков взаимодействия в составе коллектива; закрепление основ теоретических знаний.</w:t>
      </w:r>
    </w:p>
    <w:p>
      <w:pPr/>
      <w:r>
        <w:rPr/>
        <w:t xml:space="preserve">При этом доминирует активность учащихся в процессе обучения. Место преподавателя в интерактивных занятиях сводится к направлению деятельности обучающихся на достижение целей занятия.</w:t>
      </w:r>
    </w:p>
    <w:p>
      <w:pPr>
        <w:numPr>
          <w:ilvl w:val="0"/>
          <w:numId w:val="2"/>
        </w:numPr>
      </w:pPr>
      <w:r>
        <w:rPr/>
        <w:t xml:space="preserve">Проектная работа.</w:t>
      </w:r>
    </w:p>
    <w:p>
      <w:pPr/>
      <w:r>
        <w:rPr/>
        <w:t xml:space="preserve">В основе метода проектов лежит развитие познавательных навыков обучающихся, умений самостоятельно конструировать свои знания, умений ориентироваться в информационном пространстве, развитие критического и творческого мышления. Метод проектов всегда ориентирован на самостоятельную деятельность обучающихся. Цель проектного обучения</w:t>
      </w:r>
      <w:r>
        <w:rPr/>
        <w:t xml:space="preserve"> </w:t>
      </w:r>
      <w:r>
        <w:rPr/>
        <w:t xml:space="preserve">состоит в том, чтобы создать условия, при которых обучающиеся:</w:t>
      </w:r>
    </w:p>
    <w:p>
      <w:pPr>
        <w:numPr>
          <w:ilvl w:val="0"/>
          <w:numId w:val="3"/>
        </w:numPr>
      </w:pPr>
      <w:r>
        <w:rPr/>
        <w:t xml:space="preserve">самостоятельно и охотно приобретают недостающие знания из разных источников;</w:t>
      </w:r>
    </w:p>
    <w:p>
      <w:pPr>
        <w:numPr>
          <w:ilvl w:val="0"/>
          <w:numId w:val="3"/>
        </w:numPr>
      </w:pPr>
      <w:r>
        <w:rPr/>
        <w:t xml:space="preserve">учатся пользоваться приобретенными знаниями для решения познавательных и практических задач;</w:t>
      </w:r>
    </w:p>
    <w:p>
      <w:pPr>
        <w:numPr>
          <w:ilvl w:val="0"/>
          <w:numId w:val="3"/>
        </w:numPr>
      </w:pPr>
      <w:r>
        <w:rPr/>
        <w:t xml:space="preserve">приобретают коммуникативные умения, работая в различных группах;</w:t>
      </w:r>
    </w:p>
    <w:p>
      <w:pPr>
        <w:numPr>
          <w:ilvl w:val="0"/>
          <w:numId w:val="3"/>
        </w:numPr>
      </w:pPr>
      <w:r>
        <w:rPr/>
        <w:t xml:space="preserve">развивают у себя исследовательские умения (умения выявления проблем, сбора информации, наблюдения, проведения эксперимента, анализа, построения гипотез, обобщения);</w:t>
      </w:r>
    </w:p>
    <w:p>
      <w:pPr>
        <w:numPr>
          <w:ilvl w:val="0"/>
          <w:numId w:val="3"/>
        </w:numPr>
      </w:pPr>
      <w:r>
        <w:rPr/>
        <w:t xml:space="preserve">развивают системное мышление.</w:t>
      </w:r>
    </w:p>
    <w:p>
      <w:pPr/>
      <w:r>
        <w:rPr/>
        <w:t xml:space="preserve"> </w:t>
      </w:r>
    </w:p>
    <w:p>
      <w:pPr>
        <w:numPr>
          <w:ilvl w:val="0"/>
          <w:numId w:val="4"/>
        </w:numPr>
      </w:pPr>
      <w:r>
        <w:rPr/>
        <w:t xml:space="preserve"> Проблемное обучение.</w:t>
      </w:r>
    </w:p>
    <w:p>
      <w:pPr/>
      <w:r>
        <w:rPr/>
        <w:t xml:space="preserve">Суть проблемного обучения заключается в создании (организации)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 направляющего деятельность обучающихся.</w:t>
      </w:r>
    </w:p>
    <w:p>
      <w:pPr/>
      <w:r>
        <w:rPr>
          <w:b w:val="1"/>
          <w:bCs w:val="1"/>
        </w:rPr>
        <w:t xml:space="preserve">Деятельность преподавателя - </w:t>
      </w:r>
      <w:r>
        <w:rPr/>
        <w:t xml:space="preserve">организует самостоятельную работу обучающихся, управление их учебными действиями; развивает навыки исследовательской деятельности.</w:t>
      </w:r>
    </w:p>
    <w:p>
      <w:pPr/>
      <w:r>
        <w:rPr>
          <w:b w:val="1"/>
          <w:bCs w:val="1"/>
        </w:rPr>
        <w:t xml:space="preserve">Деятельность обучающихся - у</w:t>
      </w:r>
      <w:r>
        <w:rPr/>
        <w:t xml:space="preserve">чатся формулировать проблему, осуществлять самостоятельные действия по ее решению; организуют самоконтроль и самооценку деятельности.</w:t>
      </w:r>
    </w:p>
    <w:p>
      <w:pPr>
        <w:numPr>
          <w:ilvl w:val="0"/>
          <w:numId w:val="5"/>
        </w:numPr>
      </w:pPr>
      <w:r>
        <w:rPr/>
        <w:t xml:space="preserve">Работа в малых группах</w:t>
      </w:r>
    </w:p>
    <w:p>
      <w:pPr/>
      <w:r>
        <w:rPr/>
        <w:t xml:space="preserve">Работа в малых группах - это одна из самых популярных стратегий, так как она дает всем учащимся (в том числе и стеснительным)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Все это часто бывает невозможно в большом коллективе. Работа в малой группе - неотъемлемая часть многих интерактивных методов, например, таких, как мозаика, дебаты, общественные слушания, почти все виды имитаций, судебный процесс и др. Данные ниже рекомендации носят общий характер и применимы к любой форме работы в малой группе.</w:t>
      </w:r>
    </w:p>
    <w:p>
      <w:pPr/>
      <w:r>
        <w:rPr/>
        <w:t xml:space="preserve">В то же время работа в малых группах требует много времени, этой стратегией нельзя злоупотреблять. Групповую работу следует использовать, когда нужно решить проблему, которую учащиеся не могут решить самостоятельно. Если по­траченные усилия и время не гарантируют желаемого результата, лучше выбрать метод «один—вдвоем—все вместе» для быстрого взаимодействия.</w:t>
      </w:r>
    </w:p>
    <w:p>
      <w:pPr/>
      <w:r>
        <w:rPr/>
        <w:t xml:space="preserve"> </w:t>
      </w:r>
    </w:p>
    <w:p>
      <w:pPr/>
      <w:r>
        <w:rPr/>
        <w:t xml:space="preserve">Занятия семинарского типа (практические занятия, опросы и контрольные работы)</w:t>
      </w:r>
    </w:p>
    <w:p>
      <w:pPr/>
      <w:r>
        <w:rPr/>
        <w:t xml:space="preserve">– аудиторные учебные занятия, направленные на развитие самостоятельности обучающихся и приобретение ими планируемых компетенций. Занятие проводится с академической группой. При наличии нескольких академических групп одного и того же направления подготовки занятия проводятся с каждой группой по отдельности.</w:t>
      </w:r>
    </w:p>
    <w:p>
      <w:pPr/>
      <w:r>
        <w:rPr/>
        <w:t xml:space="preserve">Цель учебного занятия</w:t>
      </w:r>
    </w:p>
    <w:p>
      <w:pPr/>
      <w:r>
        <w:rPr/>
        <w:t xml:space="preserve">– ознакомление обучающихся с основными методами и средствами решения технологических задач, дать им возможность на практике проверить отдельные вопросы теории, глубже вникнуть в сущность изучаемых явлений и привить им навыки самостоятельной постановки задачи и ее решения. Содержательно занятие представляет собой коллективную или индивидуальную работу студентов по выполнению упражнений и решению задач, выполняемую под контролем и руководством преподавателя.</w:t>
      </w:r>
    </w:p>
    <w:p>
      <w:pPr/>
      <w:r>
        <w:rPr/>
        <w:t xml:space="preserve">Самостоятельная работа обучающихся</w:t>
      </w:r>
      <w:r>
        <w:rPr/>
        <w:t xml:space="preserve"> </w:t>
      </w:r>
    </w:p>
    <w:p>
      <w:pPr/>
      <w:r>
        <w:rPr/>
        <w:t xml:space="preserve">– важная составляющая изучения дисциплины «Численные методы решения прикладных задач в строительстве», включающая в себя выполнение заданий по карточкам .</w:t>
      </w:r>
    </w:p>
    <w:p>
      <w:pPr/>
      <w:r>
        <w:rPr/>
        <w:t xml:space="preserve">Цель самостоятельной работы</w:t>
      </w:r>
    </w:p>
    <w:p>
      <w:pPr/>
      <w:r>
        <w:rPr/>
        <w:t xml:space="preserve">– освоить те разделы дисциплины, которые не были затронуты в процессе аудиторных занятий, но предусмотрены рабочей программой. В ходе самостоятельной работы обучающиеся анализируют предлагаемые преподавателем вопросы и задачи с использованием предлагаемой программой учебно-методической литературы, ресурсов сети Интернет, находят методы их решения. Их выполнение определяет степень усвоения студентами изучаемого материала и умения применять полученные знания при решении практических задач.</w:t>
      </w:r>
    </w:p>
    <w:p>
      <w:pP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w:t>
      </w:r>
    </w:p>
    <w:p>
      <w:pPr/>
      <w:r>
        <w:rPr/>
        <w:t xml:space="preserve">Оценочные средства для текущего контроля.</w:t>
      </w:r>
    </w:p>
    <w:p>
      <w:pPr/>
      <w:r>
        <w:rPr/>
        <w:t xml:space="preserve">Реферат</w:t>
      </w:r>
    </w:p>
    <w:p>
      <w:pPr/>
      <w:r>
        <w:rPr/>
        <w:t xml:space="preserve">Типы деревянных лодок</w:t>
      </w:r>
    </w:p>
    <w:p>
      <w:pPr/>
      <w:r>
        <w:rPr/>
        <w:t xml:space="preserve">Лодка «Кижанка», история, конструкция</w:t>
      </w:r>
    </w:p>
    <w:p>
      <w:pPr/>
      <w:r>
        <w:rPr/>
        <w:t xml:space="preserve">Оценка возможности проведения ремонта или восстановления лодки</w:t>
      </w:r>
    </w:p>
    <w:p>
      <w:pPr/>
      <w:r>
        <w:rPr/>
        <w:t xml:space="preserve">Осмотр и оценка </w:t>
      </w:r>
    </w:p>
    <w:p>
      <w:pPr/>
      <w:r>
        <w:rPr/>
        <w:t xml:space="preserve">Анализ конструкции на предмет потери жёсткости, сухого гниения, и выработка стратегии  ремонта.</w:t>
      </w:r>
    </w:p>
    <w:p>
      <w:pPr/>
      <w:r>
        <w:rPr/>
        <w:t xml:space="preserve">Ремонт локальных повреждений в результате сухого гниения </w:t>
      </w:r>
    </w:p>
    <w:p>
      <w:pPr/>
      <w:r>
        <w:rPr/>
        <w:t xml:space="preserve">Ремонт небольших повреждений в результате сухого гниения</w:t>
      </w:r>
    </w:p>
    <w:p>
      <w:pPr/>
      <w:r>
        <w:rPr/>
        <w:t xml:space="preserve"> Ремонт конструктивного каркаса </w:t>
      </w:r>
    </w:p>
    <w:p>
      <w:pPr/>
      <w:r>
        <w:rPr/>
        <w:t xml:space="preserve"> Ремонт и замена повреждённых элементов набора, переборок, штевней, привальных брусьев и  килей</w:t>
      </w:r>
    </w:p>
    <w:p>
      <w:pPr/>
      <w:r>
        <w:rPr/>
        <w:t xml:space="preserve">Ремонт реечной обшивки корпуса</w:t>
      </w:r>
    </w:p>
    <w:p>
      <w:pPr/>
      <w:r>
        <w:rPr/>
        <w:t xml:space="preserve"> Защита и обслуживание деревянных лодок</w:t>
      </w:r>
    </w:p>
    <w:p>
      <w:pPr/>
      <w:r>
        <w:rPr/>
        <w:t xml:space="preserve">Использование смолы</w:t>
      </w:r>
    </w:p>
    <w:p/>
    <w:p>
      <w:pPr/>
      <w:r>
        <w:rPr/>
        <w:t xml:space="preserve">5.2. Промежуточная аттестация проводится в виде:</w:t>
      </w:r>
    </w:p>
    <w:p/>
    <w:p>
      <w:pPr/>
      <w:r>
        <w:rPr/>
        <w:t xml:space="preserve">Зачет</w:t>
      </w:r>
    </w:p>
    <w:p>
      <w:pPr>
        <w:numPr>
          <w:ilvl w:val="0"/>
          <w:numId w:val="6"/>
        </w:numPr>
      </w:pPr>
      <w:r>
        <w:rPr/>
        <w:t xml:space="preserve">Типы деревянных лодок</w:t>
      </w:r>
    </w:p>
    <w:p>
      <w:pPr>
        <w:numPr>
          <w:ilvl w:val="0"/>
          <w:numId w:val="6"/>
        </w:numPr>
      </w:pPr>
      <w:r>
        <w:rPr/>
        <w:t xml:space="preserve">Лодка «Кижанка», история, конструкция</w:t>
      </w:r>
    </w:p>
    <w:p>
      <w:pPr>
        <w:numPr>
          <w:ilvl w:val="0"/>
          <w:numId w:val="6"/>
        </w:numPr>
      </w:pPr>
      <w:r>
        <w:rPr/>
        <w:t xml:space="preserve">Оценка возможности проведения ремонта или восстановления лодки</w:t>
      </w:r>
    </w:p>
    <w:p>
      <w:pPr>
        <w:numPr>
          <w:ilvl w:val="0"/>
          <w:numId w:val="6"/>
        </w:numPr>
      </w:pPr>
      <w:r>
        <w:rPr/>
        <w:t xml:space="preserve">Осмотр и оценка </w:t>
      </w:r>
    </w:p>
    <w:p>
      <w:pPr>
        <w:numPr>
          <w:ilvl w:val="0"/>
          <w:numId w:val="6"/>
        </w:numPr>
      </w:pPr>
      <w:r>
        <w:rPr/>
        <w:t xml:space="preserve">Анализ конструкции на предмет потери жёсткости, сухого гниения, и выработка стратегии  ремонта.</w:t>
      </w:r>
    </w:p>
    <w:p>
      <w:pPr>
        <w:numPr>
          <w:ilvl w:val="0"/>
          <w:numId w:val="6"/>
        </w:numPr>
      </w:pPr>
      <w:r>
        <w:rPr/>
        <w:t xml:space="preserve">Ремонт локальных повреждений в результате сухого гниения</w:t>
      </w:r>
    </w:p>
    <w:p>
      <w:pPr>
        <w:numPr>
          <w:ilvl w:val="0"/>
          <w:numId w:val="6"/>
        </w:numPr>
      </w:pPr>
      <w:r>
        <w:rPr/>
        <w:t xml:space="preserve"> Ремонт небольших повреждений в результате сухого гниения</w:t>
      </w:r>
    </w:p>
    <w:p>
      <w:pPr>
        <w:numPr>
          <w:ilvl w:val="0"/>
          <w:numId w:val="6"/>
        </w:numPr>
      </w:pPr>
      <w:r>
        <w:rPr/>
        <w:t xml:space="preserve"> Ремонт конструктивного каркаса </w:t>
      </w:r>
    </w:p>
    <w:p>
      <w:pPr>
        <w:numPr>
          <w:ilvl w:val="0"/>
          <w:numId w:val="6"/>
        </w:numPr>
      </w:pPr>
      <w:r>
        <w:rPr/>
        <w:t xml:space="preserve"> Ремонт и замена повреждённых элементов набора, переборок, штевней, привальных брусьев и  килей</w:t>
      </w:r>
    </w:p>
    <w:p>
      <w:pPr>
        <w:numPr>
          <w:ilvl w:val="0"/>
          <w:numId w:val="6"/>
        </w:numPr>
      </w:pPr>
      <w:r>
        <w:rPr/>
        <w:t xml:space="preserve">Ремонт реечной обшивки корпуса</w:t>
      </w:r>
    </w:p>
    <w:p>
      <w:pPr>
        <w:numPr>
          <w:ilvl w:val="0"/>
          <w:numId w:val="6"/>
        </w:numPr>
      </w:pPr>
      <w:r>
        <w:rPr/>
        <w:t xml:space="preserve"> Защита и обслуживание деревянных лодок</w:t>
      </w:r>
    </w:p>
    <w:p>
      <w:pPr>
        <w:numPr>
          <w:ilvl w:val="0"/>
          <w:numId w:val="6"/>
        </w:numPr>
      </w:pPr>
      <w:r>
        <w:rPr/>
        <w:t xml:space="preserve">Использование смолы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ходе лекций преподаватель излагает и разъясняет основные, наиболее сложные понятия темы, а также связанные с ней теоретические и практические проблемы, дает рекомендации на выполнение самостоятельной работы.</w:t>
      </w:r>
    </w:p>
    <w:p>
      <w:pPr/>
      <w:r>
        <w:rPr/>
        <w:t xml:space="preserve">В ходе лекций студентам рекомендуется:</w:t>
      </w:r>
    </w:p>
    <w:p>
      <w:pPr/>
      <w:r>
        <w:rPr/>
        <w:t xml:space="preserve">- вести конспектирование учебного материала;</w:t>
      </w:r>
    </w:p>
    <w:p>
      <w:pPr/>
      <w:r>
        <w:rPr/>
        <w:t xml:space="preserve">-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w:t>
      </w:r>
    </w:p>
    <w:p>
      <w:pPr/>
      <w:r>
        <w:rPr/>
        <w:t xml:space="preserve">- задавать преподавателю уточняющие вопросы с целью уяснения теоретических положений, разрешения спорных ситуаций.</w:t>
      </w:r>
    </w:p>
    <w:p>
      <w:pPr/>
      <w:r>
        <w:rPr/>
        <w:t xml:space="preserve">В рабочих конспектах желательно оставлять поля, на которых во внеаудиторное время можно сделать пометки из рекомендованной литературы, дополняющей материал прослушанной лекции, а также пометки, подчеркивающие особую важность тех или иных теоретических положений.</w:t>
      </w:r>
    </w:p>
    <w:p>
      <w:pPr/>
      <w:r>
        <w:rPr/>
        <w:t xml:space="preserve">Для успешного овладения курсом необходимо посещать все лекции, так как тематический материал взаимосвязан</w:t>
      </w:r>
    </w:p>
    <w:p>
      <w:pPr/>
      <w:r>
        <w:rPr/>
        <w:t xml:space="preserve">между собой. В случаях пропуска занятия студенту необходимо самостоятельно изучить материал и ответить на</w:t>
      </w:r>
    </w:p>
    <w:p>
      <w:pPr/>
      <w:r>
        <w:rPr/>
        <w:t xml:space="preserve">контрольные вопросы по пропущенной теме во время индивидуальных консультаций.</w:t>
      </w:r>
    </w:p>
    <w:p>
      <w:pPr/>
      <w:r>
        <w:rPr/>
        <w:t xml:space="preserve">Успешное освоение дисциплины предполагает активное, творческое участие студента путем планомерной, повседневной работы.</w:t>
      </w:r>
    </w:p>
    <w:p>
      <w:pPr/>
      <w:r>
        <w:rPr/>
        <w:t xml:space="preserve">Изучение дисциплины следует начинать с проработки рабочей программы, особое внимание, уделяя целям и задачам, структуре и содержанию курса.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Методические рекомендации предназначены для преподавателя независимо от этапа обучения дисциплины, учитывают соблюдение преемственности в выборе методов, приемов, форм и средств обучения. При необходимости рекомендации могут быть дополнены и откорректированы в зависимости от особенностей студентов; условий обучения (например, увеличения часов на самостоятельную работу); изменения целей обучения и т.д. Преподавание учебной дисциплины осуществляется в течение одного семестра. В процессе преподавания этой дисциплины необходимо учитывать, прежде всего, ее особую роль в формировании адекватного современной эпохе мировоззрения и общенаучной картины мира. Учебные и воспитательные задачи должны весь период обучения в академии органически дополнять друг друга. В процессе преподавания дисциплины необходимо учитывать ее универсально-абстрактный характер, критически-систематизирующую направленность и личностно-воспитательную функцию философских знаний. Основным требованием к преподаванию этой дисциплины является творческий подход, позволяющий повысить интерес студентов к ее содержанию. Логика программы и тематический план дисциплины основан на всестороннем и систематическом изучении основных историко-научных и философско-научных проблем, на усвоении магистрантами основных философских и научных методов, лексикона, что позволит сформировать у студентов научно ориентированное и системное видение мира, понимание сущности происходящих в науке процессов и основных характеристик научной деятельности. Процесс обучения предполагает сочетание аудиторной, внеаудиторной и самостоятельной работы, поскольку именно дополнение аудиторной работы самостоятельной деятельностью студентов способствует развитию самостоятельности и творческой активности, как при овладении, так и при практическом использовании полученных знаний в процессе коммуникации. Для эффективной самостоятельной работы используются интерактивные мультимедийные программы, которые приспособлены к различным стилям обучения и индивидуальному темпу усвоения материала. Использование новых технологий в сочетании с традиционными техническими средствами обучения (ТСО) повышает мотивацию студентов, активизирует их потенциальные интеллектуальные возможности.</w:t>
      </w:r>
    </w:p>
    <w:p>
      <w:pPr>
        <w:jc w:val="both"/>
      </w:pPr>
      <w:r>
        <w:rPr/>
        <w:t xml:space="preserve">Основу учебных занятий по дисциплине составляют лекции. Они должны читаться на высоком концептуально-теоретическом уровне, носить проблемно-диалоговый характер, раскрывать наиболее сложные мировоззренческие вопросы в тесной связи с будущей общественно-политической и воспитательной деятельностью выпускников вузов. Атрибутом современной высшей школы выступает, прежде всего, проблемное изложение лекции, при котором она становится похожа на диалог. Преподавание имитирует исследовательский процесс (выдвигаются первоначально несколько ключевых постулатов по теме лекции, изложение выстраивается по принципу самостоятельного анализа и обобщения учебного материала). Эффективность метода состоит в том, что отдельные проблемы могут подниматься самими студентами, тем самым преподаватель добивается от аудитории «самостоятельного решения» поставленной проблемы. Организация проблемного обучения представляется довольно сложной, требует значительной подготовки лектора, его умения весь материал разделить на части, каждая из которых содержит проблемную ситуацию. При разрешении проблемной ситуации формулируется сама проблема, проводится ее анализ, выявляется ее значимость, определяются основные знания для разрешения проблемы, полученные результаты сопоставляются с заданной целью. Кроме того, каждую лекцию целесообразно завершать рассмотрением проблемных вопросов, над которыми необходимо подумать самостоятельно.</w:t>
      </w:r>
    </w:p>
    <w:p>
      <w:pPr>
        <w:jc w:val="both"/>
      </w:pPr>
      <w:r>
        <w:rPr/>
        <w:t xml:space="preserve">Перед экзаменом проводятся плановая групповая и индивидуальные консультации. При проведении групповой консультации целесообразно особое внимание уделить рассмотрению тех вопросов, которые не были рассмотрены на семинарских занятиях, а также вопросов, вызвавших у студентов особое затруднение при подготовке к итоговому контролю по курсу. Для обеспечения единообразного подхода и объективности в оценке знаний студентов следует иметь в виду следующие критерии оценки всех видов контроля, которые должны быть доведены до сведения всех преподавателей и студентов с отражением методики формирования результирующей оценки.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Наумов Ю. М. «Veneh» – лодка по-карельски: О народном судостроении и судоходстве карел в районах их традиционного проживания и ведения хозяйства. Петрозаводск: Карельский научный центр РАН, 2017. 256 с.: ил. 152, прил. 5.</w:t>
      </w:r>
    </w:p>
    <w:p>
      <w:pPr/>
      <w:r>
        <w:rPr/>
        <w:t xml:space="preserve">Дубровин Г. Е., Окороков А. В., Старков В. Ф., Черносвитов П. Ю. История северорусского судостроения. СПб., 2001.</w:t>
      </w:r>
    </w:p>
    <w:p>
      <w:pPr>
        <w:jc w:val="both"/>
        <w:ind w:left="0" w:right="0" w:firstLine="570" w:hanging="0"/>
        <w:spacing w:before="240" w:after="240"/>
      </w:pPr>
      <w:r>
        <w:rPr>
          <w:b w:val="1"/>
          <w:bCs w:val="1"/>
        </w:rPr>
        <w:t xml:space="preserve">8.2. Дополнительная литература:</w:t>
      </w:r>
    </w:p>
    <w:p>
      <w:pPr/>
      <w:r>
        <w:rPr/>
        <w:t xml:space="preserve">Подробно о лодке–кижанке, истории и современном состоянии традиционного судостроения и судоходства в Кижских шхерах см.: Наумов Ю.М. «Кижанка» – лодка Онежского озера. Исторический очерк о судоходстве и судостроении Кижских шхер. Петрозаводск, 2011.</w:t>
      </w:r>
    </w:p>
    <w:p>
      <w:pPr/>
      <w:r>
        <w:rPr/>
        <w:t xml:space="preserve">Наумов Ю. М. Карельские народные лодки // Катера и яхты. 2007. № 5 (209).</w:t>
      </w:r>
      <w:br/>
      <w:r>
        <w:rPr/>
        <w:t xml:space="preserve">Наумов Ю. М. Результаты экспедиций 2000–2009 гг. по изучению истории и современного состояния традиционного народного судостроения бывшей Олонецкой губернии // Полевые этнографические исследования: Материалы 8-х СПб. этнограф. чтений. СПб., 2009. С. 97–102.</w:t>
      </w:r>
      <w:br/>
      <w:r>
        <w:rPr/>
        <w:t xml:space="preserve">Наумов Ю. М. Домашние верфи Сегозерья // Катера и яхты. 2010. № 5 (227).</w:t>
      </w:r>
      <w:br/>
      <w:r>
        <w:rPr/>
        <w:t xml:space="preserve">Наумов Ю. М. «Кижанка» – лодка Онежского озера: Исторический очерк о судоходстве и судостроении Кижских шхер. Петрозаводск, 2011.</w:t>
      </w:r>
      <w:br/>
      <w:r>
        <w:rPr/>
        <w:t xml:space="preserve">Наумов Ю. М. К вопросу о методике изучения народного лодкостроения // Методика полевых работ и архивация фольклорных, лингвистических и этнографических материалов: Материалы VI науч.-практ. семинара. Петрозаводск, 2013.</w:t>
      </w:r>
      <w:br/>
      <w:r>
        <w:rPr/>
        <w:t xml:space="preserve">Наумов Ю. М. Ретроспектива деревянного судостроения Республики Карелия; Народное судостроение Республики Карелия // Проблемы изучения и сохранения морского наследия: статьи, справочные материалы, исследования: Сб. материалов Междунар. науч.-практ. конф. Калининград, 2016.</w:t>
      </w:r>
      <w:br/>
      <w:r>
        <w:rPr/>
        <w:t xml:space="preserve">Овсяников О. В., Ясински М. Западное Беломорье: из истории крестьянского судостроения Поморья первой половины ХVIII в.</w:t>
      </w:r>
      <w:br/>
      <w:r>
        <w:rPr/>
        <w:t xml:space="preserve">// Краеугольный камень. Археология, история, искусство, культура России и сопредельных стран. В 2-х т. Т. 2 / Под ред. Е. Н. Носова, С. В. Белецкого. М., 2010. С. 71–113.</w:t>
      </w:r>
    </w:p>
    <w:p>
      <w:pPr>
        <w:jc w:val="both"/>
        <w:ind w:left="0" w:right="0" w:firstLine="570" w:hanging="0"/>
        <w:spacing w:before="240" w:after="240"/>
      </w:pPr>
      <w:r>
        <w:rPr>
          <w:b w:val="1"/>
          <w:bCs w:val="1"/>
        </w:rPr>
        <w:t xml:space="preserve">8.3. Программное обеспечение и Интернет-ресурсы:</w:t>
      </w:r>
    </w:p>
    <w:p>
      <w:pPr/>
      <w:hyperlink r:id="rId7" w:history="1">
        <w:r>
          <w:rPr/>
          <w:t xml:space="preserve">https://kizhi.karelia.ru/library/kizhskij-vestnik-vyipusk-13-sbornik-statej/1089.html</w:t>
        </w:r>
      </w:hyperlink>
      <w:r>
        <w:rPr/>
        <w:t xml:space="preserve"> Кижский вестник. Выпуск 13 Под науч. ред. И.В.Мельникова, В.П.Кузнецовой Карельский научный центр РАН. Петрозаводск. 2011. 296 с.</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2BB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571E2A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F8E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8F0AC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26E48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227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CC3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izhi.karelia.ru/library/kizhskij-vestnik-vyipusk-13-sbornik-statej/108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2026-04-21T07:29:14+03:00</dcterms:created>
  <dcterms:modified xsi:type="dcterms:W3CDTF">2026-04-21T07:29:14+03:00</dcterms:modified>
</cp:coreProperties>
</file>

<file path=docProps/custom.xml><?xml version="1.0" encoding="utf-8"?>
<Properties xmlns="http://schemas.openxmlformats.org/officeDocument/2006/custom-properties" xmlns:vt="http://schemas.openxmlformats.org/officeDocument/2006/docPropsVTypes"/>
</file>