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ТРАДИЦИОННЫЕ КОНСТРУКЦИИ ДЕРЕВЯННЫХ ИСТОРИЧЕСКИХ ЗДАНИЙ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Традиционные конструкции деревянных исторических зданий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2"/>
        </w:numPr>
      </w:pPr>
      <w:r>
        <w:rPr/>
        <w:t xml:space="preserve">самостоятельно и охотно приобретают недостающие знания из разных источников;</w:t>
      </w:r>
    </w:p>
    <w:p>
      <w:pPr>
        <w:numPr>
          <w:ilvl w:val="0"/>
          <w:numId w:val="2"/>
        </w:numPr>
      </w:pP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приобретают коммуникативные умения, работая в различных группах;</w:t>
      </w:r>
    </w:p>
    <w:p>
      <w:pPr>
        <w:numPr>
          <w:ilvl w:val="0"/>
          <w:numId w:val="2"/>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Лекция - диалог.</w:t>
      </w:r>
    </w:p>
    <w:p>
      <w:pPr/>
      <w:r>
        <w:rPr>
          <w:b w:val="1"/>
          <w:bCs w:val="1"/>
        </w:rPr>
        <w:t xml:space="preserve">4. РАБОТА В МАЛЫХ ГРУППАХ</w:t>
      </w:r>
    </w:p>
    <w:p>
      <w:pPr/>
      <w:r>
        <w:rPr/>
        <w:t xml:space="preserve"> </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Хасаншин, Р.Р. Система инженерного моделирования и проектирования деревянных зданий и сооружений : учебное пособие : [16+] / Р.Р. Хасаншин, А.Е. Воронин ; Министерство образования и науки России, Казанский национальный исследовательский технологический университет. – Казань : Казанский научно-исследовательский технологический университет (КНИТУ), 2018. – 88 с. : ил. – Режим доступа: по подписке. – URL: </w:t>
      </w:r>
      <w:hyperlink r:id="rId7" w:history="1">
        <w:r>
          <w:rPr/>
          <w:t xml:space="preserve">http://biblioclub.ru/index.php?page=book&amp;id=500954</w:t>
        </w:r>
      </w:hyperlink>
      <w:r>
        <w:rPr/>
        <w:t xml:space="preserve"> (дата обращения: 09.10.2020). – Библиогр.: с. 85. – ISBN 978-5-7882-2355-1. – Текст : электронный.</w:t>
      </w:r>
    </w:p>
    <w:p>
      <w:pPr/>
      <w:r>
        <w:rPr/>
        <w:t xml:space="preserve">Акчурина, Н.С. Строительство современных деревянных храмов на Урале: авторский опыт проектирования / Н.С. Акчурина ; Уральский государственный архитектурно-художественный университет (УрГАХУ). – Екатеринбург : Архитектон, 2016. – 165 с. : схем., ил. – Режим доступа: по подписке. – URL: </w:t>
      </w:r>
      <w:hyperlink r:id="rId8" w:history="1">
        <w:r>
          <w:rPr/>
          <w:t xml:space="preserve">http://biblioclub.ru/index.php?page=book&amp;id=455410</w:t>
        </w:r>
      </w:hyperlink>
      <w:r>
        <w:rPr/>
        <w:t xml:space="preserve"> (дата обращения: 09.10.2020). – Библиогр. в кн. – ISBN 978-5-7408-0178-0.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Севан, О.Г. «Малые Корелы». Архангельский музей деревянного зодчества / О.Г. Севан. – Москва : Прогресс-Традиция, 2011. – 367 с. – Режим доступа: по подписке. – URL:</w:t>
      </w:r>
    </w:p>
    <w:p>
      <w:pPr/>
      <w:r>
        <w:rPr/>
        <w:t xml:space="preserve"> </w:t>
      </w:r>
    </w:p>
    <w:p>
      <w:pPr/>
      <w:hyperlink r:id="rId9" w:history="1">
        <w:r>
          <w:rPr/>
          <w:t xml:space="preserve">http://biblioclub.ru/index.php?page=book&amp;id=107418</w:t>
        </w:r>
      </w:hyperlink>
    </w:p>
    <w:p>
      <w:pPr/>
      <w:r>
        <w:rPr/>
        <w:t xml:space="preserve"> </w:t>
      </w:r>
    </w:p>
    <w:p>
      <w:pPr/>
      <w:r>
        <w:rPr/>
        <w:t xml:space="preserve">(дата обращения: 09.10.2020). – ISBN 978-5-89826-387-4. – Текст : электронный.</w:t>
      </w:r>
    </w:p>
    <w:p>
      <w:pPr/>
      <w:r>
        <w:rPr/>
        <w:t xml:space="preserve">Глушкова, П.В. Музеи под открытым небом : учебное пособие / П.В. Глушкова, В.М. Кимеев ; Министерство культуры Российской Федерации, Кемеровский государственный институт культуры. – Кемерово : Кемеровский государственный институт культуры (КемГИК), 2015. – 152 с. : ил. – Режим доступа: по подписке. – URL: </w:t>
      </w:r>
    </w:p>
    <w:p>
      <w:pPr/>
      <w:hyperlink r:id="rId10" w:history="1">
        <w:r>
          <w:rPr/>
          <w:t xml:space="preserve">http://biblioclub.ru/index.php?page=book&amp;id=472614</w:t>
        </w:r>
      </w:hyperlink>
    </w:p>
    <w:p>
      <w:pPr/>
      <w:r>
        <w:rPr/>
        <w:t xml:space="preserve"> (дата обращения: 09.10.2020). – Библиогр.: с. 99-101. – ISBN 978-5-8154-0318-5.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03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AB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C0912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E82D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7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00954" TargetMode="External"/><Relationship Id="rId8" Type="http://schemas.openxmlformats.org/officeDocument/2006/relationships/hyperlink" Target="http://biblioclub.ru/index.php?page=book&amp;id=455410" TargetMode="External"/><Relationship Id="rId9" Type="http://schemas.openxmlformats.org/officeDocument/2006/relationships/hyperlink" Target="http://biblioclub.ru/index.php?page=book&amp;id=107418" TargetMode="External"/><Relationship Id="rId10" Type="http://schemas.openxmlformats.org/officeDocument/2006/relationships/hyperlink" Target="http://biblioclub.ru/index.php?page=book&amp;id=472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2026-04-20T22:39:10+03:00</dcterms:created>
  <dcterms:modified xsi:type="dcterms:W3CDTF">2026-04-20T22:39:10+03:00</dcterms:modified>
</cp:coreProperties>
</file>

<file path=docProps/custom.xml><?xml version="1.0" encoding="utf-8"?>
<Properties xmlns="http://schemas.openxmlformats.org/officeDocument/2006/custom-properties" xmlns:vt="http://schemas.openxmlformats.org/officeDocument/2006/docPropsVTypes"/>
</file>