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РЕГУЛИРОВАНИЯ ТРУДОВЫХ ОТНОШЕНИЙ С ИНОСТРАННЫМИ ГРАЖДАНАМИ И ЛИЦАМИ БЕЗ ГРАЖДАНСТВА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XX.XX.201X г. № ХХХ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Знание содержания основных разделов Социального права, Миграционного права, касающихся социально-трудовой сферы, содержания основных документов Международного трудового права (Конвенция МОТ)</w:t>
            </w:r>
          </w:p>
        </w:tc>
        <w:tc>
          <w:tcPr>
            <w:tcW w:w="3100" w:type="dxa"/>
            <w:noWrap/>
          </w:tcPr>
          <w:p>
            <w:pPr/>
            <w:r>
              <w:rPr>
                <w:b w:val="1"/>
                <w:bCs w:val="1"/>
                <w:i w:val="1"/>
                <w:iCs w:val="1"/>
              </w:rPr>
              <w:t xml:space="preserve">Знать:</w:t>
            </w:r>
          </w:p>
          <w:p>
            <w:pPr>
              <w:jc w:val="numTab"/>
              <w:ind w:left="0" w:right="0" w:firstLine="0" w:hanging="0"/>
            </w:pPr>
            <w:r>
              <w:rPr/>
              <w:t xml:space="preserve">- содержание основных разделов Миграционного права, касающихся социально-трудовой сферы;
- содержание основных документов Международного трудового права (Конвенции и Рекомендации МОТ)
- понятие и предмет миграционного права; 
- понятие и пределы механизма правового регулирования миграционных отношений в Российской Федерации;
- миграционные отношения и их субъекты, миграционно-правовые нормы;
- источники миграционного права и систему миграционного законодательства;
- правовой механизм реализации миграционной политики Российской Федерации;
- ответственность за нарушение миграционного законодательства</w:t>
            </w:r>
          </w:p>
          <w:p/>
          <w:p>
            <w:pPr/>
            <w:r>
              <w:rPr>
                <w:b w:val="1"/>
                <w:bCs w:val="1"/>
                <w:i w:val="1"/>
                <w:iCs w:val="1"/>
              </w:rPr>
              <w:t xml:space="preserve">Уметь:</w:t>
            </w:r>
          </w:p>
          <w:p>
            <w:pPr>
              <w:jc w:val="numTab"/>
              <w:ind w:left="0" w:right="0" w:firstLine="0" w:hanging="0"/>
            </w:pPr>
            <w:r>
              <w:rPr/>
              <w:t xml:space="preserve">- ориентироваться в действующем миграционном законодательстве и в системе миграционно-правовых норм, регулирующих миграционные потоки в Российской Федерации</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правильного толкования и применения норм миграционного права к конкретным практическим (жизненным) ситуациям;
- содержательной интерпретацией и адаптацией полученных знаний о миграционном праве для решения конкретных задач в соответствующей профессиональной области;
-  умениями работы с учебно-методической, специальной и научной литературой, а также современной периодикой;
- навыками правильно и полно отражать результаты профессиональной деятельности в юридической и иной документации;
- понятийным аппаратом изучаемой дисциплины;
- способами ориентирования в профессиональных источниках информации (журналы, сайты, правовые поисковые системы Гарант, Консультант Плюс и т.д.)
- способами совершенствования профессиональных знаний и умений путем использования возможностей информационной среды работодателя, региона, страны
</w:t>
            </w:r>
          </w:p>
        </w:tc>
      </w:tr>
      <w:tr>
        <w:trPr/>
        <w:tc>
          <w:tcPr>
            <w:tcW w:w="2500" w:type="dxa"/>
            <w:noWrap/>
          </w:tcPr>
          <w:p>
            <w:pPr>
              <w:jc w:val="numTab"/>
              <w:ind w:left="0" w:right="0" w:firstLine="0" w:hanging="0"/>
            </w:pPr>
            <w:r>
              <w:rPr/>
              <w:t xml:space="preserve">ПК-10
Основной</w:t>
            </w:r>
          </w:p>
        </w:tc>
        <w:tc>
          <w:tcPr>
            <w:tcW w:w="4000" w:type="dxa"/>
            <w:noWrap/>
          </w:tcPr>
          <w:p>
            <w:pPr>
              <w:jc w:val="numTab"/>
              <w:ind w:left="0" w:right="0" w:firstLine="0" w:hanging="0"/>
            </w:pPr>
            <w:r>
              <w:rPr/>
              <w:t xml:space="preserve">Знание Трудового кодекса Российской Федерации и иных нормативных правовых актов, содержащих нормы трудового права, знание процедур приема, увольнения, перевода на другую работу и перемещения персонала в соответствии с Трудовым кодексом Российской Федерации и владение навыками оформления сопровождающей документации</w:t>
            </w:r>
          </w:p>
        </w:tc>
        <w:tc>
          <w:tcPr>
            <w:tcW w:w="3100" w:type="dxa"/>
            <w:noWrap/>
          </w:tcPr>
          <w:p>
            <w:pPr/>
            <w:r>
              <w:rPr>
                <w:b w:val="1"/>
                <w:bCs w:val="1"/>
                <w:i w:val="1"/>
                <w:iCs w:val="1"/>
              </w:rPr>
              <w:t xml:space="preserve">Знать:</w:t>
            </w:r>
          </w:p>
          <w:p>
            <w:pPr>
              <w:jc w:val="numTab"/>
              <w:ind w:left="0" w:right="0" w:firstLine="0" w:hanging="0"/>
            </w:pPr>
            <w:r>
              <w:rPr/>
              <w:t xml:space="preserve">- нормы Трудового кодекса Российской Федерации и иных нормативных правовых актов, содержащих нормы трудового права, регулирующих труд мигрантов
- порядок заключения, изменения и прекращения трудового договора мигранта в соответствии с Трудовым кодексом Российской Федерации и иными НПА РФ
</w:t>
            </w:r>
          </w:p>
          <w:p/>
          <w:p>
            <w:pPr/>
            <w:r>
              <w:rPr>
                <w:b w:val="1"/>
                <w:bCs w:val="1"/>
                <w:i w:val="1"/>
                <w:iCs w:val="1"/>
              </w:rPr>
              <w:t xml:space="preserve">Уметь:</w:t>
            </w:r>
          </w:p>
          <w:p>
            <w:pPr>
              <w:jc w:val="numTab"/>
              <w:ind w:left="0" w:right="0" w:firstLine="0" w:hanging="0"/>
            </w:pPr>
            <w:r>
              <w:rPr/>
              <w:t xml:space="preserve">- ориентироваться в действующем трудовом законодательстве и в системе правовых норм, регулирующих особенности труда мигрантов в Российской Федерации</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оформления документации, сопровождающей кадровые процедуры (прием на работу, переводы, увольнение)</w:t>
            </w:r>
          </w:p>
        </w:tc>
      </w:tr>
      <w:tr>
        <w:trPr/>
        <w:tc>
          <w:tcPr>
            <w:tcW w:w="2500" w:type="dxa"/>
            <w:noWrap/>
          </w:tcPr>
          <w:p>
            <w:pPr>
              <w:jc w:val="numTab"/>
              <w:ind w:left="0" w:right="0" w:firstLine="0" w:hanging="0"/>
            </w:pPr>
            <w:r>
              <w:rPr/>
              <w:t xml:space="preserve">ПК-29
Основной</w:t>
            </w:r>
          </w:p>
        </w:tc>
        <w:tc>
          <w:tcPr>
            <w:tcW w:w="4000" w:type="dxa"/>
            <w:noWrap/>
          </w:tcPr>
          <w:p>
            <w:pPr>
              <w:jc w:val="numTab"/>
              <w:ind w:left="0" w:right="0" w:firstLine="0" w:hanging="0"/>
            </w:pPr>
            <w:r>
              <w:rPr/>
              <w:t xml:space="preserve">Владение навыками анализа и диагностики состояния социальной сферы организации, способность целенаправленно и эффективно реализовывать современные технологии социальной работы с персоналом, участвовать в составлении и реализации планов (программ) социального развития с учетом фактического состояния социальной сферы, экономического состояния и общих целей развития организации</w:t>
            </w:r>
          </w:p>
        </w:tc>
        <w:tc>
          <w:tcPr>
            <w:tcW w:w="3100" w:type="dxa"/>
            <w:noWrap/>
          </w:tcPr>
          <w:p>
            <w:pPr/>
            <w:r>
              <w:rPr>
                <w:b w:val="1"/>
                <w:bCs w:val="1"/>
                <w:i w:val="1"/>
                <w:iCs w:val="1"/>
              </w:rPr>
              <w:t xml:space="preserve">Знать:</w:t>
            </w:r>
          </w:p>
          <w:p>
            <w:pPr>
              <w:jc w:val="numTab"/>
              <w:ind w:left="0" w:right="0" w:firstLine="0" w:hanging="0"/>
            </w:pPr>
            <w:r>
              <w:rPr/>
              <w:t xml:space="preserve">- состояние социальной сферы организации</w:t>
            </w:r>
          </w:p>
          <w:p/>
          <w:p>
            <w:pPr/>
            <w:r>
              <w:rPr>
                <w:b w:val="1"/>
                <w:bCs w:val="1"/>
                <w:i w:val="1"/>
                <w:iCs w:val="1"/>
              </w:rPr>
              <w:t xml:space="preserve">Уметь:</w:t>
            </w:r>
          </w:p>
          <w:p>
            <w:pPr>
              <w:jc w:val="numTab"/>
              <w:ind w:left="0" w:right="0" w:firstLine="0" w:hanging="0"/>
            </w:pPr>
            <w:r>
              <w:rPr/>
              <w:t xml:space="preserve">- целенаправленно и эффективно реализовывать современные технологии социальной работы с персоналом;
-  составлять планы (программы) социального развития с учетом фактического состояния социальной сферы, экономического состояния и общих целей развития организации</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анализа и диагностики состояния социальной сферы организации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регулирования трудовых отношений с иностранными гражданами и лицами без гражданства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ПРАВОВОЙ СТАТУС РАБОТНИКОВ, ЯВЛЯЮЩИХСЯ ИНОСТРАННЫМИ ГРАЖДАНАМИ ИЛИ ЛИЦАМИ БЕЗ ГРАЖДАНСТВА</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Законодательство о правовом положении иностранных граждан в Российской Федерации. Правовое положение иностранных граждан в Российской Федерации. Особенности осуществления трудовой деятельности отдельными категориями иностранных граждан.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заключения трудового договора с работником, являющимся иностранным гражданином или лицом без гражданства. Документы, предъявляемые иностранным гражданином или лицом без гражданства при приеме на работу.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Особенности временного перевода, отстранения от работы работника, являющегося иностранным гражданином или лицом без гражданства.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прекращения трудового договора с работником, являющимся иностранным гражданином или лицом без гражданства. Особенности выплаты выходного пособия работнику, являющемуся иностранным гражданином или лицом без гражданства.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регулирования рынка труда иностранных работников. Иностранные граждане, прибывшие в Российскую Федерацию в целях осуществления трудовой деятельности. Трудовая деятельность иностранных граждан в Российской Федерации.</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осуществления трудовой деятельности иностранными гражданами - высококвалифицированными специалистами. Особенности трудовой деятельности иностранных граждан, прибывших в Российскую Федерацию в порядке, не требующем получения визы, на основании патента. Отношение иностранных граждан к государственной или муниципальной службе и к отдельным видам деятельности.</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Приглашение на въезд в Российскую Федерацию иностранного гражданина в целях осуществления трудовой деятельности. Ведение банка данных об осуществлении иностранными гражданами трудовой деятельности. Форма оказания государственной финансовой поддержки.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Административная ответственность за нарушения в сфере трудовой миграции.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Незаконное привлечение к трудовой деятельности в Российской Федерации иностранного гражданина или лица без гражданства.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Нарушение иностранным гражданином или лицом без гражданства срока обращения за выдачей патента.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r>
        <w:rPr/>
        <w:t xml:space="preserve">:</w:t>
      </w:r>
    </w:p>
    <w:p>
      <w:pPr/>
      <w:r>
        <w:rPr/>
        <w:t xml:space="preserve">Какой документ должен заполнить иностранный гражданин при въезде в Россию?</w:t>
      </w:r>
      <w:br/>
      <w:r>
        <w:rPr/>
        <w:t xml:space="preserve">А) Доверенность</w:t>
      </w:r>
      <w:br/>
      <w:r>
        <w:rPr/>
        <w:t xml:space="preserve">Б) Миграционную карту</w:t>
      </w:r>
      <w:br/>
      <w:r>
        <w:rPr/>
        <w:t xml:space="preserve">В) Квитанцию</w:t>
      </w:r>
    </w:p>
    <w:p>
      <w:pPr/>
      <w:r>
        <w:rPr/>
        <w:t xml:space="preserve">В какой срок после приезда в Россию необходимо встать на учет по месту пребывания?</w:t>
      </w:r>
      <w:br/>
      <w:r>
        <w:rPr/>
        <w:t xml:space="preserve">А) В течение семи рабочих дней.</w:t>
      </w:r>
      <w:br/>
      <w:r>
        <w:rPr/>
        <w:t xml:space="preserve">Б) В течение пяти рабочих дней.</w:t>
      </w:r>
      <w:br/>
      <w:r>
        <w:rPr/>
        <w:t xml:space="preserve">В) В течение трех рабочих дней.</w:t>
      </w:r>
    </w:p>
    <w:p>
      <w:pPr/>
      <w:r>
        <w:rPr/>
        <w:t xml:space="preserve">В какой срок выдается патент или отказ в его выдаче?</w:t>
      </w:r>
      <w:br/>
      <w:r>
        <w:rPr/>
        <w:t xml:space="preserve">А) Не позднее 3 рабочих дней</w:t>
      </w:r>
      <w:br/>
      <w:r>
        <w:rPr/>
        <w:t xml:space="preserve">Б) Не позднее 7 рабочих дней</w:t>
      </w:r>
      <w:br/>
      <w:r>
        <w:rPr/>
        <w:t xml:space="preserve">В) Не позднее 10 рабочих дней</w:t>
      </w:r>
    </w:p>
    <w:p>
      <w:pPr/>
      <w:r>
        <w:rPr/>
        <w:t xml:space="preserve">Как иностранному гражданину следует обратиться за разрешением на работу?</w:t>
      </w:r>
      <w:br/>
      <w:r>
        <w:rPr/>
        <w:t xml:space="preserve">А) Лично</w:t>
      </w:r>
      <w:br/>
      <w:r>
        <w:rPr/>
        <w:t xml:space="preserve">Б) Через представителя работодателя</w:t>
      </w:r>
      <w:br/>
      <w:r>
        <w:rPr/>
        <w:t xml:space="preserve">В) По электронной почте</w:t>
      </w:r>
    </w:p>
    <w:p>
      <w:pPr/>
      <w:r>
        <w:rPr/>
        <w:t xml:space="preserve">Какой срок действия патента с учетом продлений является максимальным?</w:t>
      </w:r>
      <w:br/>
      <w:r>
        <w:rPr/>
        <w:t xml:space="preserve">А) 3 месяца со дня выдачи патента</w:t>
      </w:r>
      <w:br/>
      <w:r>
        <w:rPr/>
        <w:t xml:space="preserve">Б) 12 месяцев со дня выдачи патента</w:t>
      </w:r>
      <w:br/>
      <w:r>
        <w:rPr/>
        <w:t xml:space="preserve">В) 18 месяцев со дня выдачи патента</w:t>
      </w:r>
    </w:p>
    <w:p>
      <w:pPr/>
      <w:r>
        <w:rPr/>
        <w:t xml:space="preserve">Что является общим основанием участия иностранного гражданина в трудовых отношениях на территории РФ?</w:t>
      </w:r>
      <w:br/>
      <w:r>
        <w:rPr/>
        <w:t xml:space="preserve">А) Наличие трудового договора или гражданско-правового договора на выполнение работ (оказание услуг)</w:t>
      </w:r>
      <w:br/>
      <w:r>
        <w:rPr/>
        <w:t xml:space="preserve">Б) Наличие приглашения работодателя</w:t>
      </w:r>
      <w:br/>
      <w:r>
        <w:rPr/>
        <w:t xml:space="preserve">В) Наличие квот, утвержденных Правительством РФ</w:t>
      </w:r>
    </w:p>
    <w:p>
      <w:pPr/>
      <w:r>
        <w:rPr/>
        <w:t xml:space="preserve">Иностранный гражданин Х встал на миграционный учет в одном субъекте федерации (например, в Московской области) и собирается работать в другом субъекте федерации (например, в Москве). Куда необходимо подать документы для получения разрешения на работу?</w:t>
      </w:r>
      <w:br/>
      <w:r>
        <w:rPr/>
        <w:t xml:space="preserve">А. УФМС по месту постановки на миграционный учет (в нашем случае по Московской области)</w:t>
      </w:r>
      <w:br/>
      <w:r>
        <w:rPr/>
        <w:t xml:space="preserve">Б. УФМС по месту предполагаемой работы (в нашем примере по г. Москве)</w:t>
      </w:r>
      <w:br/>
      <w:r>
        <w:rPr/>
        <w:t xml:space="preserve">В. УФМС по г. Москве или УФМС по Московской области по своему усмотрению</w:t>
      </w:r>
    </w:p>
    <w:p>
      <w:pPr/>
    </w:p>
    <w:p>
      <w:pPr/>
    </w:p>
    <w:p/>
    <w:p>
      <w:pPr/>
      <w:r>
        <w:rPr/>
        <w:t xml:space="preserve">Доклад, сообщение</w:t>
      </w:r>
    </w:p>
    <w:p>
      <w:pPr/>
      <w:r>
        <w:rPr/>
        <w:t xml:space="preserve">Доклад -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2"/>
        </w:numPr>
      </w:pPr>
      <w:r>
        <w:rPr/>
        <w:t xml:space="preserve">Процедура получения разрешения на привлечение и использование иностранных работников</w:t>
      </w:r>
    </w:p>
    <w:p>
      <w:pPr>
        <w:numPr>
          <w:ilvl w:val="0"/>
          <w:numId w:val="2"/>
        </w:numPr>
      </w:pPr>
      <w:r>
        <w:rPr/>
        <w:t xml:space="preserve">Допустимая доля использования иностранных работников в отдельных видах деятельности</w:t>
      </w:r>
    </w:p>
    <w:p>
      <w:pPr>
        <w:numPr>
          <w:ilvl w:val="0"/>
          <w:numId w:val="2"/>
        </w:numPr>
      </w:pPr>
      <w:r>
        <w:rPr/>
        <w:t xml:space="preserve">Разрешение на работу для иностранного работника</w:t>
      </w:r>
    </w:p>
    <w:p>
      <w:pPr>
        <w:numPr>
          <w:ilvl w:val="0"/>
          <w:numId w:val="2"/>
        </w:numPr>
      </w:pPr>
      <w:r>
        <w:rPr/>
        <w:t xml:space="preserve">Порядок приема на работу "безвизового" иностранца на основании патента</w:t>
      </w:r>
    </w:p>
    <w:p>
      <w:pPr>
        <w:numPr>
          <w:ilvl w:val="0"/>
          <w:numId w:val="2"/>
        </w:numPr>
      </w:pPr>
      <w:r>
        <w:rPr/>
        <w:t xml:space="preserve">Уведомление налогового органа о привлечении иностранных граждан для осуществления трудовой деятельности</w:t>
      </w:r>
    </w:p>
    <w:p>
      <w:pPr>
        <w:numPr>
          <w:ilvl w:val="0"/>
          <w:numId w:val="2"/>
        </w:numPr>
      </w:pPr>
      <w:r>
        <w:rPr/>
        <w:t xml:space="preserve">Миграционный учет иностранных граждан по месту пребывания</w:t>
      </w:r>
    </w:p>
    <w:p>
      <w:pPr>
        <w:numPr>
          <w:ilvl w:val="0"/>
          <w:numId w:val="2"/>
        </w:numPr>
      </w:pPr>
      <w:r>
        <w:rPr/>
        <w:t xml:space="preserve">Особенности привлечения к трудовой деятельности высококвалифицированных иностранных специалистов</w:t>
      </w:r>
    </w:p>
    <w:p>
      <w:pPr>
        <w:numPr>
          <w:ilvl w:val="0"/>
          <w:numId w:val="2"/>
        </w:numPr>
      </w:pPr>
      <w:r>
        <w:rPr/>
        <w:t xml:space="preserve">Привлечение к трудовой деятельности иностранных граждан, обучающихся в РФ по очной форме</w:t>
      </w:r>
    </w:p>
    <w:p>
      <w:pPr>
        <w:numPr>
          <w:ilvl w:val="0"/>
          <w:numId w:val="2"/>
        </w:numPr>
      </w:pPr>
      <w:r>
        <w:rPr/>
        <w:t xml:space="preserve">Привлечение к трудовой деятельности иностранных граждан работодателями (заказчиками работ, услуг) - физическими лицами</w:t>
      </w:r>
    </w:p>
    <w:p>
      <w:pPr/>
      <w:r>
        <w:rPr>
          <w:b w:val="1"/>
          <w:bCs w:val="1"/>
          <w:i w:val="1"/>
          <w:iCs w:val="1"/>
        </w:rPr>
        <w:t xml:space="preserve">Критерии оценивания доклада:</w:t>
      </w:r>
    </w:p>
    <w:p>
      <w:pPr>
        <w:numPr>
          <w:ilvl w:val="0"/>
          <w:numId w:val="3"/>
        </w:numPr>
      </w:pPr>
      <w:r>
        <w:rPr/>
        <w:t xml:space="preserve">Соответствие содержания работы теме.</w:t>
      </w:r>
    </w:p>
    <w:p>
      <w:pPr>
        <w:numPr>
          <w:ilvl w:val="0"/>
          <w:numId w:val="3"/>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3"/>
        </w:numPr>
      </w:pPr>
      <w:r>
        <w:rPr/>
        <w:t xml:space="preserve">Исследовательский характер.</w:t>
      </w:r>
    </w:p>
    <w:p>
      <w:pPr>
        <w:numPr>
          <w:ilvl w:val="0"/>
          <w:numId w:val="3"/>
        </w:numPr>
      </w:pPr>
      <w:r>
        <w:rPr/>
        <w:t xml:space="preserve">Логичность и последовательность изложения.</w:t>
      </w:r>
    </w:p>
    <w:p>
      <w:pPr>
        <w:numPr>
          <w:ilvl w:val="0"/>
          <w:numId w:val="3"/>
        </w:numPr>
      </w:pPr>
      <w:r>
        <w:rPr/>
        <w:t xml:space="preserve">Научная обоснованность тезисов, позиций, обоснованность и доказательность выводов.</w:t>
      </w:r>
    </w:p>
    <w:p>
      <w:pPr>
        <w:numPr>
          <w:ilvl w:val="0"/>
          <w:numId w:val="3"/>
        </w:numPr>
      </w:pPr>
      <w:r>
        <w:rPr/>
        <w:t xml:space="preserve">Грамотность изложения (правильная речь) и качество оформления работы.</w:t>
      </w:r>
    </w:p>
    <w:p>
      <w:pPr>
        <w:numPr>
          <w:ilvl w:val="0"/>
          <w:numId w:val="3"/>
        </w:numPr>
      </w:pPr>
      <w:r>
        <w:rPr/>
        <w:t xml:space="preserve">Использование наглядного материала, статистических данных.</w:t>
      </w:r>
    </w:p>
    <w:p>
      <w:pPr>
        <w:numPr>
          <w:ilvl w:val="0"/>
          <w:numId w:val="3"/>
        </w:numPr>
      </w:pPr>
      <w:r>
        <w:rPr/>
        <w:t xml:space="preserve">Соблюдение регламента (5-7 мин.).</w:t>
      </w:r>
    </w:p>
    <w:p>
      <w:pPr>
        <w:numPr>
          <w:ilvl w:val="0"/>
          <w:numId w:val="3"/>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Pr/>
    </w:p>
    <w:p/>
    <w:p>
      <w:pPr/>
      <w:r>
        <w:rPr/>
        <w:t xml:space="preserve">5.2. Промежуточная аттестация проводится в виде:</w:t>
      </w:r>
    </w:p>
    <w:p/>
    <w:p>
      <w:pPr/>
      <w:r>
        <w:rPr/>
        <w:t xml:space="preserve">Зачет</w:t>
      </w:r>
    </w:p>
    <w:p>
      <w:pPr>
        <w:numPr>
          <w:ilvl w:val="0"/>
          <w:numId w:val="4"/>
        </w:numPr>
      </w:pPr>
      <w:r>
        <w:rPr/>
        <w:t xml:space="preserve">Законодательство о правовом положении иностранных граждан в Российской Федерации.</w:t>
      </w:r>
    </w:p>
    <w:p>
      <w:pPr>
        <w:numPr>
          <w:ilvl w:val="0"/>
          <w:numId w:val="4"/>
        </w:numPr>
      </w:pPr>
      <w:r>
        <w:rPr/>
        <w:t xml:space="preserve">Правовое положение иностранных граждан в Российской Федерации.</w:t>
      </w:r>
    </w:p>
    <w:p>
      <w:pPr>
        <w:numPr>
          <w:ilvl w:val="0"/>
          <w:numId w:val="4"/>
        </w:numPr>
      </w:pPr>
      <w:r>
        <w:rPr/>
        <w:t xml:space="preserve">Особенности осуществления трудовой деятельности отдельными категориями иностранных граждан.</w:t>
      </w:r>
    </w:p>
    <w:p>
      <w:pPr>
        <w:numPr>
          <w:ilvl w:val="0"/>
          <w:numId w:val="4"/>
        </w:numPr>
      </w:pPr>
      <w:r>
        <w:rPr/>
        <w:t xml:space="preserve">Особенности регулирования рынка труда иностранных работников.</w:t>
      </w:r>
    </w:p>
    <w:p>
      <w:pPr>
        <w:numPr>
          <w:ilvl w:val="0"/>
          <w:numId w:val="4"/>
        </w:numPr>
      </w:pPr>
      <w:r>
        <w:rPr/>
        <w:t xml:space="preserve">Иностранные граждане, прибывшие в Российскую Федерацию в целях осуществления трудовой деятельности.</w:t>
      </w:r>
    </w:p>
    <w:p>
      <w:pPr>
        <w:numPr>
          <w:ilvl w:val="0"/>
          <w:numId w:val="4"/>
        </w:numPr>
      </w:pPr>
      <w:r>
        <w:rPr/>
        <w:t xml:space="preserve">Трудовая деятельность иностранных граждан в Российской Федерации.</w:t>
      </w:r>
    </w:p>
    <w:p>
      <w:pPr>
        <w:numPr>
          <w:ilvl w:val="0"/>
          <w:numId w:val="4"/>
        </w:numPr>
      </w:pPr>
      <w:r>
        <w:rPr/>
        <w:t xml:space="preserve">Особенности заключения трудового договора с работником, являющимся иностранным гражданином или лицом без гражданства.</w:t>
      </w:r>
    </w:p>
    <w:p>
      <w:pPr>
        <w:numPr>
          <w:ilvl w:val="0"/>
          <w:numId w:val="4"/>
        </w:numPr>
      </w:pPr>
      <w:r>
        <w:rPr/>
        <w:t xml:space="preserve">Документы, предъявляемые иностранным гражданином или лицом без гражданства при приеме на работу.</w:t>
      </w:r>
    </w:p>
    <w:p>
      <w:pPr>
        <w:numPr>
          <w:ilvl w:val="0"/>
          <w:numId w:val="4"/>
        </w:numPr>
      </w:pPr>
      <w:r>
        <w:rPr/>
        <w:t xml:space="preserve">Особенности временного перевода работника, являющегося иностранным гражданином или лицом без гражданства.</w:t>
      </w:r>
    </w:p>
    <w:p>
      <w:pPr>
        <w:numPr>
          <w:ilvl w:val="0"/>
          <w:numId w:val="4"/>
        </w:numPr>
      </w:pPr>
      <w:r>
        <w:rPr/>
        <w:t xml:space="preserve">Особенности отстранения от работы работника, являющегося иностранным гражданином или лицом без гражданства.</w:t>
      </w:r>
    </w:p>
    <w:p>
      <w:pPr>
        <w:numPr>
          <w:ilvl w:val="0"/>
          <w:numId w:val="4"/>
        </w:numPr>
      </w:pPr>
      <w:r>
        <w:rPr/>
        <w:t xml:space="preserve">Особенности прекращения трудового договора с работником, являющимся иностранным гражданином или лицом без гражданства.</w:t>
      </w:r>
    </w:p>
    <w:p>
      <w:pPr>
        <w:numPr>
          <w:ilvl w:val="0"/>
          <w:numId w:val="4"/>
        </w:numPr>
      </w:pPr>
      <w:r>
        <w:rPr/>
        <w:t xml:space="preserve">Особенности выплаты выходного пособия работнику, являющемуся иностранным гражданином или лицом без гражданства.</w:t>
      </w:r>
    </w:p>
    <w:p>
      <w:pPr>
        <w:numPr>
          <w:ilvl w:val="0"/>
          <w:numId w:val="4"/>
        </w:numPr>
      </w:pPr>
      <w:r>
        <w:rPr/>
        <w:t xml:space="preserve">Особенности осуществления трудовой деятельности иностранными гражданами - высококвалифицированными специалистами.</w:t>
      </w:r>
    </w:p>
    <w:p>
      <w:pPr>
        <w:numPr>
          <w:ilvl w:val="0"/>
          <w:numId w:val="4"/>
        </w:numPr>
      </w:pPr>
      <w:r>
        <w:rPr/>
        <w:t xml:space="preserve">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pPr>
        <w:numPr>
          <w:ilvl w:val="0"/>
          <w:numId w:val="4"/>
        </w:numPr>
      </w:pPr>
      <w:r>
        <w:rPr/>
        <w:t xml:space="preserve">Отношение иностранных граждан к государственной или муниципальной службе и к отдельным видам деятельности.</w:t>
      </w:r>
    </w:p>
    <w:p>
      <w:pPr>
        <w:numPr>
          <w:ilvl w:val="0"/>
          <w:numId w:val="4"/>
        </w:numPr>
      </w:pPr>
      <w:r>
        <w:rPr/>
        <w:t xml:space="preserve">Приглашение на въезд в Российскую Федерацию иностранного гражданина в целях осуществления трудовой деятельности.</w:t>
      </w:r>
    </w:p>
    <w:p>
      <w:pPr>
        <w:numPr>
          <w:ilvl w:val="0"/>
          <w:numId w:val="4"/>
        </w:numPr>
      </w:pPr>
      <w:r>
        <w:rPr/>
        <w:t xml:space="preserve">Ведение банка данных об осуществлении иностранными гражданами трудовой деятельности.</w:t>
      </w:r>
    </w:p>
    <w:p>
      <w:pPr>
        <w:numPr>
          <w:ilvl w:val="0"/>
          <w:numId w:val="4"/>
        </w:numPr>
      </w:pPr>
      <w:r>
        <w:rPr/>
        <w:t xml:space="preserve">Административная ответственность за нарушения в сфере трудовой миграции.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и миграционным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миграционного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и миграционного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5"/>
        </w:numPr>
      </w:pPr>
      <w:r>
        <w:rPr/>
        <w:t xml:space="preserve">Проработать конспект лекций, просмотреть и выучить основные определения;</w:t>
      </w:r>
    </w:p>
    <w:p>
      <w:pPr>
        <w:numPr>
          <w:ilvl w:val="0"/>
          <w:numId w:val="5"/>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Ответить на вопросы плана семинарского занятия;</w:t>
      </w:r>
    </w:p>
    <w:p>
      <w:pPr>
        <w:numPr>
          <w:ilvl w:val="0"/>
          <w:numId w:val="5"/>
        </w:numPr>
      </w:pPr>
      <w:r>
        <w:rPr/>
        <w:t xml:space="preserve">Выполнить самостоятельно домашнее задание по указанию преподавателя;</w:t>
      </w:r>
    </w:p>
    <w:p>
      <w:pPr>
        <w:numPr>
          <w:ilvl w:val="0"/>
          <w:numId w:val="5"/>
        </w:numPr>
      </w:pPr>
      <w:r>
        <w:rPr/>
        <w:t xml:space="preserve">Проработать тестовые задания и вопросы;</w:t>
      </w:r>
    </w:p>
    <w:p>
      <w:pPr>
        <w:numPr>
          <w:ilvl w:val="0"/>
          <w:numId w:val="5"/>
        </w:numPr>
      </w:pPr>
      <w:r>
        <w:rPr/>
        <w:t xml:space="preserve">Использовать для самопроверки материалы фонда оценочных средств;</w:t>
      </w:r>
    </w:p>
    <w:p>
      <w:pPr>
        <w:numPr>
          <w:ilvl w:val="0"/>
          <w:numId w:val="5"/>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6"/>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6"/>
        </w:numPr>
      </w:pPr>
      <w:r>
        <w:rPr/>
        <w:t xml:space="preserve">Выделите главное, составьте план.</w:t>
      </w:r>
    </w:p>
    <w:p>
      <w:pPr>
        <w:numPr>
          <w:ilvl w:val="0"/>
          <w:numId w:val="6"/>
        </w:numPr>
      </w:pPr>
      <w:r>
        <w:rPr/>
        <w:t xml:space="preserve">Кратко сформулируйте основные положения текста, тезисно выделите аргументацию автора.</w:t>
      </w:r>
    </w:p>
    <w:p>
      <w:pPr>
        <w:numPr>
          <w:ilvl w:val="0"/>
          <w:numId w:val="6"/>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6"/>
        </w:numPr>
      </w:pPr>
      <w:r>
        <w:rPr/>
        <w:t xml:space="preserve">Грамотно записывайте цитаты. Цитируя, учитывайте лаконичность и значимость мысли.</w:t>
      </w:r>
    </w:p>
    <w:p>
      <w:pPr>
        <w:numPr>
          <w:ilvl w:val="0"/>
          <w:numId w:val="6"/>
        </w:numPr>
      </w:pPr>
      <w:r>
        <w:rPr/>
        <w:t xml:space="preserve">Используйте графические выделения.</w:t>
      </w:r>
    </w:p>
    <w:p>
      <w:pPr>
        <w:numPr>
          <w:ilvl w:val="0"/>
          <w:numId w:val="6"/>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Основные </w:t>
      </w:r>
      <w:r>
        <w:rPr>
          <w:b w:val="1"/>
          <w:bCs w:val="1"/>
        </w:rPr>
        <w:t xml:space="preserve">методы</w:t>
      </w:r>
      <w:r>
        <w:rPr/>
        <w:t xml:space="preserve"> проведения практических занятий:</w:t>
      </w:r>
    </w:p>
    <w:p>
      <w:pPr>
        <w:numPr>
          <w:ilvl w:val="0"/>
          <w:numId w:val="7"/>
        </w:numPr>
      </w:pPr>
      <w:r>
        <w:rPr/>
        <w:t xml:space="preserve">обсуждение вопросов семинара;</w:t>
      </w:r>
    </w:p>
    <w:p>
      <w:pPr>
        <w:numPr>
          <w:ilvl w:val="0"/>
          <w:numId w:val="7"/>
        </w:numPr>
      </w:pPr>
      <w:r>
        <w:rPr/>
        <w:t xml:space="preserve">выступления студентов с докладами и сообщениями (рефератами) и их обсуждение;</w:t>
      </w:r>
    </w:p>
    <w:p>
      <w:pPr>
        <w:numPr>
          <w:ilvl w:val="0"/>
          <w:numId w:val="7"/>
        </w:numPr>
      </w:pPr>
      <w:r>
        <w:rPr/>
        <w:t xml:space="preserve">дискуссии;</w:t>
      </w:r>
    </w:p>
    <w:p>
      <w:pPr>
        <w:numPr>
          <w:ilvl w:val="0"/>
          <w:numId w:val="7"/>
        </w:numPr>
      </w:pPr>
      <w:r>
        <w:rPr/>
        <w:t xml:space="preserve">решение задач;</w:t>
      </w:r>
    </w:p>
    <w:p>
      <w:pPr>
        <w:numPr>
          <w:ilvl w:val="0"/>
          <w:numId w:val="7"/>
        </w:numPr>
      </w:pPr>
      <w:r>
        <w:rPr/>
        <w:t xml:space="preserve">тестирование.</w:t>
      </w:r>
    </w:p>
    <w:p>
      <w:pPr/>
      <w:r>
        <w:rPr/>
        <w:t xml:space="preserve">Студентам следует уделить особое внимание тенденциям развития трудового и миграционного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и миграционного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и миграционного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и, наконец, решить дело по существу – дать ему правовую квалификацию от имени властного правоприменительного органа. Студент должен дать юридическую оценку ситуации на основе всестороннего толкования трудового и миграционного законодательства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и миграционном законодательстве и новыми тенденциями в развитии науки.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"Правовые основы регулирования труда мигрантов" изучаются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 мигрантов.</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При этом активизируется работа с нормативными актами.</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трудовой миграции,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 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и миграционного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докладов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Трудовое право в 2 т. Том 1. Общая часть : учебник для бакалавриата и магистратуры / Ю. П. Орловский [и др.] ; ответственный редактор Ю. П. Орловский. — 2-е изд., перераб. и доп. — Москва : Издательство Юрайт, 2019. — 285 с. — Текст : электронный // ЭБС Юрайт [сайт]. — </w:t>
      </w:r>
      <w:r>
        <w:rPr/>
        <w:t xml:space="preserve">URL</w:t>
      </w:r>
      <w:r>
        <w:rPr/>
        <w:t xml:space="preserve">: </w:t>
      </w:r>
      <w:r>
        <w:rPr/>
        <w:t xml:space="preserve">https</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r>
        <w:rPr/>
        <w:t xml:space="preserve">bcode</w:t>
      </w:r>
      <w:r>
        <w:rPr/>
        <w:t xml:space="preserve">/434523</w:t>
      </w:r>
    </w:p>
    <w:p>
      <w:pPr>
        <w:numPr>
          <w:ilvl w:val="0"/>
          <w:numId w:val="8"/>
        </w:numPr>
      </w:pPr>
      <w:r>
        <w:rPr/>
        <w:t xml:space="preserve">Трудовое право в 2 т. Том 2. </w:t>
      </w:r>
      <w:r>
        <w:rPr/>
        <w:t xml:space="preserve">Особенная часть. </w:t>
      </w:r>
      <w:r>
        <w:rPr/>
        <w:t xml:space="preserve">Международно-правовое регулирование труда : учебник для бакалавриата и магистратуры / Ю. П. Орловский [и др.] ; ответственный редактор Ю. П. Орловский. — 2-е изд., перераб. и доп. — Москва : Издательство Юрайт, 2019. — 506 с. — Текст : электронный // ЭБС Юрайт [сайт]. — </w:t>
      </w:r>
      <w:r>
        <w:rPr/>
        <w:t xml:space="preserve">URL</w:t>
      </w:r>
      <w:r>
        <w:rPr/>
        <w:t xml:space="preserve">: </w:t>
      </w:r>
      <w:r>
        <w:rPr/>
        <w:t xml:space="preserve">https</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r>
        <w:rPr/>
        <w:t xml:space="preserve">bcode</w:t>
      </w:r>
      <w:r>
        <w:rPr/>
        <w:t xml:space="preserve">/434526</w:t>
      </w:r>
    </w:p>
    <w:p>
      <w:pPr>
        <w:numPr>
          <w:ilvl w:val="0"/>
          <w:numId w:val="8"/>
        </w:numPr>
      </w:pPr>
      <w:r>
        <w:rPr/>
        <w:t xml:space="preserve">Трудовое право. Практикум : учебное пособие для академического бакалавриата / С. Ю. Головина [и др.] ; под редакцией С. Ю. Головиной. — Москва : Издательство Юрайт, 2019. — 346 с. - Текст : электронный // ЭБС Юрайт [сайт]. — </w:t>
      </w:r>
      <w:r>
        <w:rPr/>
        <w:t xml:space="preserve">URL</w:t>
      </w:r>
      <w:r>
        <w:rPr/>
        <w:t xml:space="preserve">: </w:t>
      </w:r>
      <w:r>
        <w:rPr/>
        <w:t xml:space="preserve">https</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r>
        <w:rPr/>
        <w:t xml:space="preserve">bcode</w:t>
      </w:r>
      <w:r>
        <w:rPr/>
        <w:t xml:space="preserve">/432992</w:t>
      </w:r>
    </w:p>
    <w:p>
      <w:pPr/>
    </w:p>
    <w:p>
      <w:pPr>
        <w:jc w:val="both"/>
        <w:ind w:left="0" w:right="0" w:firstLine="570" w:hanging="0"/>
        <w:spacing w:before="240" w:after="240"/>
      </w:pPr>
      <w:r>
        <w:rPr>
          <w:b w:val="1"/>
          <w:bCs w:val="1"/>
        </w:rPr>
        <w:t xml:space="preserve">8.2. Дополнительная литература:</w:t>
      </w:r>
    </w:p>
    <w:p>
      <w:pPr/>
      <w:r>
        <w:rPr/>
        <w:t xml:space="preserve">Жеребцов, А. Н.  Миграционное право России : учебник для вузов / А. Н. Жеребцов, Е. А. Малышев ; под общей редакцией А. Н. Жеребцова. — 2-е изд., перераб. и доп. — Москва : Издательство Юрайт, 2020. — 475 с. — (Высшее образование). — ISBN 978-5-534-13752-1. — Текст : электронный // ЭБС Юрайт [сайт]. — URL: </w:t>
      </w:r>
      <w:hyperlink r:id="rId7" w:history="1">
        <w:r>
          <w:rPr/>
          <w:t xml:space="preserve">https://urait.ru/bcode/466778 </w:t>
        </w:r>
      </w:hyperlink>
    </w:p>
    <w:p>
      <w:pP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9"/>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9"/>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9"/>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9"/>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9"/>
        </w:numPr>
      </w:pPr>
      <w:hyperlink r:id="rId8"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9"/>
        </w:numPr>
      </w:pPr>
      <w:hyperlink r:id="rId9"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3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8B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9AE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465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DD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A34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5D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02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9DD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8E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6778" TargetMode="External"/><Relationship Id="rId8" Type="http://schemas.openxmlformats.org/officeDocument/2006/relationships/hyperlink" Target="https://rosmintrud.ru/" TargetMode="External"/><Relationship Id="rId9"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2026-04-20T22:38:43+03:00</dcterms:created>
  <dcterms:modified xsi:type="dcterms:W3CDTF">2026-04-20T22:38:43+03:00</dcterms:modified>
</cp:coreProperties>
</file>

<file path=docProps/custom.xml><?xml version="1.0" encoding="utf-8"?>
<Properties xmlns="http://schemas.openxmlformats.org/officeDocument/2006/custom-properties" xmlns:vt="http://schemas.openxmlformats.org/officeDocument/2006/docPropsVTypes"/>
</file>