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</w:t>
            </w:r>
          </w:p>
          <w:p/>
          <w:p>
            <w:pPr/>
            <w:r>
              <w:rPr/>
              <w:t xml:space="preserve">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</w:t>
            </w:r>
          </w:p>
          <w:p/>
          <w:p>
            <w:pPr/>
            <w:r>
              <w:rPr/>
              <w:t xml:space="preserve">ОПК-8.3. Применяет методы представления и алгоритмы обработки данных, использует информационные технологии для решения профессиональных задач.</w:t>
            </w:r>
          </w:p>
          <w:p/>
          <w:p>
            <w:pPr/>
            <w:r>
              <w:rPr/>
              <w:t xml:space="preserve">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информационной преступности.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создания российского государственного сегмента информационно-телекоммуникационной сети Интернет.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&amp;quot;Диаметральность взглядов на существующие подходы к определению служебной тайны&amp;quot;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Примерные вопросы для обсуждения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и практикум для вузов / под редакцией Т. А. Поляковой, А. А. Стрельцова. — Москва : Издательство Юрайт, 2021. — 325 с. — (Высшее образование). — ISBN 978-5-534-03600-8.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https://urait.ru/bcode/469235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 Преступления в сфере информационной безопасности : учебное пособие для вузов / С. М. Корабельников. — Москва : Издательство Юрайт, 2021. — 111 с. — (Высшее образование). — ISBN 978-5-534-12769-0.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https://urait.ru/bcode/476798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6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04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667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2A3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D3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4E8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9235" TargetMode="External"/><Relationship Id="rId8" Type="http://schemas.openxmlformats.org/officeDocument/2006/relationships/hyperlink" Target="https://urait.ru/bcode/47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2026-04-23T22:46:28+03:00</dcterms:created>
  <dcterms:modified xsi:type="dcterms:W3CDTF">2026-04-23T22:46:28+03:00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