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Технология и дополнительное образование в области декоративно-прикладного творчества»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предметной области Технология и дополнительное образование в области декоративно-прикладного творчества»).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Закономерности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освещенности, оборудованию, мебели.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ребенка.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системы, вегетативной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типов ВНД, свойств темперамента.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репродуктивной системы, оценка степени полового созревания.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рациона и режима питания ребенка.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режима дня ребенка и школьного расписания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опорно-двигательного аппарата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функциональной готовности ребенка к школе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веществ.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эндокринной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/>
    <w:p>
      <w:pPr/>
      <w:r>
        <w:rPr/>
        <w:t xml:space="preserve">Тест</w:t>
      </w:r>
    </w:p>
    <w:p>
      <w:pPr/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Выберите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 по методу Н. С. Короткова, используя тонометр.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</w:t>
      </w:r>
      <w:r>
        <w:rPr>
          <w:vertAlign w:val="subscript"/>
        </w:rPr>
        <w:t xml:space="preserve">вд</w:t>
      </w:r>
      <w:r>
        <w:rPr/>
        <w:t xml:space="preserve">), резервного объема выдоха (РО</w:t>
      </w:r>
      <w:r>
        <w:rPr>
          <w:vertAlign w:val="subscript"/>
        </w:rPr>
        <w:t xml:space="preserve">выд</w:t>
      </w:r>
      <w:r>
        <w:rPr/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гипоксических функциональных проб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10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выполненным практическим занятиям.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опорно-двигательного аппарата человека.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уровня физического развития ребенка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функциональной готовности ребенка к школе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сердечно-сосудистой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 и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сердечно-сосудистой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пульса и способы его определения</w:t>
      </w:r>
    </w:p>
    <w:p>
      <w:pPr/>
      <w:r>
        <w:rPr/>
        <w:t xml:space="preserve">- места поверхностного залегания артерий для определения пульса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 изменения артериального пульса в различные возрастные периоды</w:t>
      </w:r>
    </w:p>
    <w:p>
      <w:pPr>
        <w:pStyle w:val="Heading1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1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1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дыхательной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устно ответить в форме собеседования по следующим позициям: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респираторной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характеристика метода спирометрии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пищеварительной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Обмен веществ. Особенности метаболизма в различные периоды онтогенеза.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нервной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нервной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высшей нервной деятельности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эндокринной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репродуктивной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иммунной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иммунной системы (центральные и периферические органы, лимфатическая система)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Гигиена детей и подростков. Профилактика патологических изменений в функциональных системах. Рекомендации по здоровьесбережению.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гигиена питания, необходимые питательные вещества, витамины, микроэлементы, режим питания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работам.</w:t>
      </w:r>
    </w:p>
    <w:p>
      <w:pPr/>
      <w:r>
        <w:rPr/>
        <w:t xml:space="preserve">Промежуточная аттестация проводится в виде зачета. Вопросы и задания к зачету</w:t>
      </w:r>
      <w:r>
        <w:rPr/>
        <w:t xml:space="preserve"> </w:t>
      </w:r>
      <w:r>
        <w:rPr/>
        <w:t xml:space="preserve">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фильмы, демонстрация макетов, муляжей;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http://biblioclub.ru/index.php?page=book&amp;id=57604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>
        <w:numPr>
          <w:ilvl w:val="0"/>
          <w:numId w:val="6"/>
        </w:numPr>
      </w:pPr>
      <w:r>
        <w:rPr/>
        <w:t xml:space="preserve">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</w:t>
      </w:r>
      <w:r>
        <w:rPr/>
        <w:t xml:space="preserve">416 с.</w:t>
      </w:r>
    </w:p>
    <w:p>
      <w:pPr>
        <w:numPr>
          <w:ilvl w:val="0"/>
          <w:numId w:val="6"/>
        </w:numPr>
      </w:pP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 – Текст : электронный.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</w:t>
      </w:r>
      <w:r>
        <w:rPr>
          <w:i w:val="1"/>
          <w:iCs w:val="1"/>
        </w:rPr>
        <w:t xml:space="preserve">ресурсы: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4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7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>
      <w:pPr/>
      <w:r>
        <w:rPr/>
        <w:t xml:space="preserve"> 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>
      <w:pPr/>
      <w:r>
        <w:rPr>
          <w:u w:val="single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2E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54FAF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63111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9F7EF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D787B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9A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CA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100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D3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582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1547" TargetMode="External"/><Relationship Id="rId8" Type="http://schemas.openxmlformats.org/officeDocument/2006/relationships/hyperlink" Target="https://edu.petrsu.ru/object/8465" TargetMode="External"/><Relationship Id="rId9" Type="http://schemas.openxmlformats.org/officeDocument/2006/relationships/hyperlink" Target="http://foliant/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book&amp;id=57604" TargetMode="External"/><Relationship Id="rId13" Type="http://schemas.openxmlformats.org/officeDocument/2006/relationships/hyperlink" Target="http://biblioclub.ru/index.php?page=book&amp;id=274683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www.studmedlib.ru/" TargetMode="External"/><Relationship Id="rId16" Type="http://schemas.openxmlformats.org/officeDocument/2006/relationships/hyperlink" Target="https://www.biblio-online.ru/" TargetMode="External"/><Relationship Id="rId17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2026-04-21T06:03:24+03:00</dcterms:created>
  <dcterms:modified xsi:type="dcterms:W3CDTF">2026-04-21T06:03:24+03:00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