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СПОРТИВНЫХ ИГР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спортивных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баскетболе: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волейболе: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мини-футболе: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Основные понятия. Формы организации занятий баскетболом. Структура обучения спортивным играм. Основные правила игры в баскетбол.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остановкам и поворотам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и передача мяча, остановки, повороты, ведение)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баскетбол как средство физического воспитания и вид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баскетбол (площадка, инвентарь, оборудование, участники, набор очка,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мини-футбола.  Основные понятия. Игровая  двигательная  деятельность  как  эффективное средство физического воспитания.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мини-футболу. Структура обучения спортивным играм (мини-футболу). Закономерности формирования навыков в мини-футболе. 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перемещений баскетболиста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ведения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в прыжке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мяча, ведение,  финт на проход, бросок мяча))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игра (соревнования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перехвату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вырыванию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выбиванию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накрыванию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нападении: без мяча: выход на свободное место с целью освобождения от опеки защитника и получения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нападении: с мячом: выбор способа ловли, передачи, броска, ведения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нападении: взаимодействие двух игроков &amp;quot;передал мяч и выходи&amp;quot;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нападении: взаимодействие трех игроков &amp;quot;треугольник&amp;quot;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защите: выбор места по отношению к игроку без мяча и с мячом; противодействие выходу на свободное место для получения мяча; противодействия при броске мяча в корзину; выбор момента для применения вырывания, выбивания, перехвата мяча.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защите: взаимодействие двух игроков &amp;quot;подстраховка&amp;quot;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игроков в защите: личная система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игроков в защите: зонная система защиты 2-1-2; 2-3.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технической и тактической подготовки в процессе обучения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блокированию (одиночное, групповое)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нападении: выбор места для второй передачи,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нападении: с мячом: выбор способа подачи, направления подачи, направления второй передачи, удара или «обмана».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групповые действия игроков в нападении: взаимодействие игроков передней линии, задней линии: при первой передачи (после приема подачи), при второй передачи для нападающего удара.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нападении: система игры в нападении со второй передачи игроков передней линии. Система игры в нападении со второй передачи игроком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защите: Выбор места для: приема подачи, при  блокировании, при страховке. Определение времени для прыжка при блокировании.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групповые действия игроков в защите: взаимодействие игроков передней и задней линии при блокировании и страховке.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защите: система игры углом вперед (игрок зоны 6 на страховке в зоне нападения).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защите: Система игры в защите углом назад (игрок зоны 6 у лицевой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волейболу (матч, набор очка, жеребьевка, игра мячом, игра у сетки, правило выполнения подачи). Судьи и их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волейболу (круговым способом)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тактические взаимодействия игроков в волейболе (передней линии, задней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неподвижному мячу (разбег; замах ударной и постановка опорной ноги; ударное движение и проводка; принятие исходного положения для следующего движения)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передвижениям в мини-футболе (ходьба, бег, остановки, прыжки, повороты).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внешней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головой, носком, пяткой.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катящегося мяча (подошвой, внутренней стороной стопы).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летящего мяча (подошвой; внутренней стороной стопы; внутренней, средней, внешней частью подъема; бедром; грудью).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ведению мяча (подошвой, внутренней, средней, внешней частью подъема, носком).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мини-футболу)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(передачи, остановки мяча).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(финт &amp;quot;уходом&amp;quot;) в мини-футболе:&amp;quot;уход&amp;quot; выпадом, &amp;quot;уход&amp;quot; с переносом ноги через мяч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лействиям (финтам) в мини-футболе (финт &amp;quot;ударом&amp;quot; по мячу ногой, финт &amp;quot;ударом&amp;quot; по мячу головой).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в мини-футболе: финт &amp;quot;остановкой&amp;quot; мяча ногой, финт &amp;quot;остановкой&amp;quot; мяча грудью и головой..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при активной и пассивной защите. Взаимодействие  двух,  трех  и  более  игроков  с  перемещением  вдоль  площадки с атакой ворот.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в нападении в мини-футболу. Системы игры. Тактические комбинации и отдельные моменты игры (при начальном ударе, при свободном и штрафном ударах, при угловом ударе)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Индивидуальные  действия.Опека игрока без мяча: выбор места противодействия выходу игрока. Опека игрока, владеющего мячом: выбор способа противодействия в зависимости  от конкретной 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Способы  организации  защитных  действий  против  двух,  трех  нападающих. Комбинация «стенка».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мини-футболу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мини-футболу)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Взаимодействия игроков при комбинации &amp;amp;quot;стенка&amp;amp;quot;.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баскетбол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перемещениям игрока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ловле и передаче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ведению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броску в движении одной рукой сверху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нападении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(судейская бригада, перемещение судей на площадке, правило выполнения штрафного броска)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баскетболу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игры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защите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соревнований по волейболу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тактические действия игрока в волейболе (выбор места, выполнение передачи, прием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нападении и защите)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волейболу.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волейболу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мини-футбол в структуре физкультурно-спортивной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 в урочное и во внеурочное время с различным контингентом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обучения техническим элементам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быстроты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ловкости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гибкости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силовых способностей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скоростно-силовых качеств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выносливости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скорости игровых действий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мини-футболу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мини-футболу (взятие ворот, штрафной удар, пенальти, игра вратаря).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мини-футболу..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различных форм занятий по дисциплине «Теория и методика  спортивных игр» используются разнообразные образовательные технологии. В частности,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игроков, методические материалы по начальному обучению спортивным играм детей и взрослых, рассматриваются комплексы подготовительных упражнений по освоению техники различных элементов спортивных игр, применяемых в конкретном виде спортивных игр.  </w:t>
      </w:r>
    </w:p>
    <w:p>
      <w:pPr/>
      <w:r>
        <w:rPr/>
        <w:t xml:space="preserve">В процессе практических занятий, при изучении техники элементов спортивной игры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элементов, на основе материалов видеосъемки. Просмотр студенческих соревнований по спортивным играм,  республиканских и городских (баскетболу, волейболу, мини-футболу).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контрольная работа; контрольные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/>
    <w:p>
      <w:pPr/>
      <w:r>
        <w:rPr/>
        <w:t xml:space="preserve">Контрольная работа</w:t>
      </w:r>
    </w:p>
    <w:p/>
    <w:p>
      <w:pPr/>
      <w:r>
        <w:rPr/>
        <w:t xml:space="preserve">контрольные нормативы по технической подготовке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«Теория и методика спортивных игр»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занятий по спортивным играм  С историей возникновения, развития и современным состоянием спортивных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занятиях студенты знакомятся с техникой элементов спортивных игр и с тактическими действиями в спортивных играх, предусмотренными программой школы по физической культуре, приобретают знания и навыки по методике проведения занятий по спортивным играм.</w:t>
      </w:r>
    </w:p>
    <w:p>
      <w:pPr/>
      <w:r>
        <w:rPr/>
        <w:t xml:space="preserve">При подготовке к практическим занятиям студенту необходимо изучить теоретический и методический материал,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«Теория и методика спортивных игр» предлагаются следующие виды деятельности: формирование навыков поиска необходимой информации; изучение </w:t>
      </w:r>
      <w:r>
        <w:rPr/>
        <w:t xml:space="preserve">учебной, научной и методической литературы, имеющейся в библиотеке ПетрГУ</w:t>
      </w:r>
      <w:r>
        <w:rPr/>
        <w:t xml:space="preserve">; использование   дополнительной   литературы:   научно-  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проведению спортивных игр, обращайтесь за методической помощью к преподавателю. Составьте план-конспект проведения занятия по спортивным играм. В ходе проведения однокурсниками на практических занятиях учебной практики (урока), рекомендуется принимать активное участие в их обсуждении. Особое внимание следует обратить на освоение знаний по технике безопасности проведения спортивных игр. </w:t>
      </w:r>
    </w:p>
    <w:p>
      <w:pPr/>
      <w:r>
        <w:rPr/>
        <w:t xml:space="preserve">При подготовке к контрольной работе, сдаче контрольных практических нормативов, зачету  и экзамену повторите пройденный материал в строгом соответствии с учебной программой, примерным перечнем учебных вопросов, выносящихся на зачет и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«Теория и методика спортивных игр» необходимо использовать современные образовательные  технологии. На лекционных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«Теория и методика спортивных игр»,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 Проити инструктаж по технике безопасности при проведении спортивных игр.</w:t>
      </w:r>
    </w:p>
    <w:p>
      <w:pPr/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 Курс дисциплины знакомит студентов с теоретико-методическими особенностями построения занятий по спортивным играм. На занятиях рассматриваются основные разделы дисциплины связанные с основами теории спортивных игр, а так же рассматриваются вопросы методики обучения, подготовки и организации занятий спортивными играми. Практические занятия направлены на ознакомление студентов со средствами, методами и формами обучения спортивным играм. Изучаются особенности проведения спортивныхх игр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  для различных возрастных групп,  участвуют в организации и проведении занятий по спортивным играм.</w:t>
      </w:r>
    </w:p>
    <w:p>
      <w:pPr/>
      <w:r>
        <w:rPr/>
        <w:t xml:space="preserve">Учет успеваемости студентов ведется в форме зачета по пройденным темам  и экзамена в сроки, предусмотренные учебным планом. Текущий контроль (контрольная работа, контрольные практические нормативы, конспект урока по спортивным играм и проведение учебной практики) и промежуточная аттестация (зачет, экзамен) студентов осуществляется при выполнении ими установленных программой требований.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спортивными играми,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Андреев, С. Н. Мини-футбол в школе / С. Н. Андреев, Э. Г. Алиев. - Москва : Советский спорт, 2006. - 224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Ахмеров, Э. К. Волейбол для начинающих / Э. К. Ахмеров. - Минск : Полымя, 1985. - 78, [1]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Бабушкин, В. З. Подготовка юных баскетболистов / В. З. Бабушкин. - Киев : Здоров'я, 1985. - 141, [3]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Баскетбол : учебно-методическое пособие / М-во образования РФ, Гос. образоват. учреждение высш. проф. образования "КГПУ" ; сост. Р. А. Кемза. - Петрозаводск : КГПУ, 2004.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Железняк, Ю. Д. Волейбол : методическое пособие по обучению игре / Ю. Д. Железняк, В. А. Кунянский, А. В. Чачин. - Москва : ТЕРРА-СПОРТ : Олимпия PRESS, 2005. - 112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Клещев, Ю. Н. Волейбол / Ю. Клещев. - Москва : Физкультура и спорт, 2005. - 400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Кузнецов, А. А. Футбол : настольная книга детского тренера : II этап (11-12 лет) : организационно-методическая структура учебно-тренировочного процесса в футбольной школе / А. А. Кузнецов ; Региональная общественная организация "Объединение отечественных тренеров по футболу". - Москва : Олимпия, 2008. - 206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Нестеровский, Д. И. Баскетбол : теория и методика обучения : учеб. пособие для студентов вузов, обучающихся по спец. 033100 - Физическая культура / Д. И. Нестеровский. - 2-е изд., испр. - Москва : ACADEMiA, 2006. - 335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Основные правила игры в баскетбол (с комментариями) : учеб.-метод. пособие / Федер. агентство по образованию, ГОУВПО "КГПУ" ; [сост.: Р. А. Кемза, Н. В. Кемза, И. В. Солодовников. - Петрозавадск : КГПУ, 2007. - 60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Основные правила игры в волейбол (с комментариями) : учеб.-метод. пособие / М-во образования и науки РФ, Федеральное агентство по образованию, ГОУВПО "КГПУ" ; [сост. Н.В. Кемза. - Петрозаводск : КГПУ, 2005. - 27 с.Спортивные игры : техника, тактика обучения : учебник для студентов пед. вузов / Ю. Д. Железняк [и др.] ; под ред. Ю. Д. Железняка, Ю. М. Портнова. - Москва : Академия, 2001. - 319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- Москва : Советский спорт, 2006. - 232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Спирин, А. Н. Футбол : вопросы и ответы по правилам игры, методике, практике судейства и инспектирования / А. Спирин, А. Будогосский ; Общероссийская ассоциация "Центр - "Футбольный арбитр"", Центр подготовки специалистов в сфере футбола. - Москва : Олимпия PRESS, 2005. - 271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Футбол : правила игры / Междунар. Федерация футбольных ассоциаций, Рос. футбольный союз ; [пер. М. Кравченко, Л. Зарохович]. - Москва : ТЕРРА-СПОРТ, 2004. - 72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    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    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     образовательный портал ПетрГУ ()</w:t>
      </w:r>
      <w:hyperlink r:id="rId9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    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    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    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    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    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    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    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    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   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 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    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спортивный зал для игровых видов спорта с оборудованием и спортивным инвентарем (стойки волейбольные с сеткой, фермы баскетбольные, мини-футбольные ворота, баскетбольные, волейбольные, мини-футбольные мячи, манишки, информационное табло).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25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8AF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2026-04-21T09:25:33+03:00</dcterms:created>
  <dcterms:modified xsi:type="dcterms:W3CDTF">2026-04-21T09:25:33+03:00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