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Культурология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Топос культуры и проблематика ее изучения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изучения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культура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культурологии. Предмет философии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Границы культурных явлений и событий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Семиотический подход в изучении феномена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Герменевтический подход в изучении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Опыт критицизма в отношении к культуре в европейском и русском «прочтении»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Отношение к феномену нигилизма в отечественной культуре конца XIX — начала XX столетия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Границы культурных явлений и событий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Семиотический подход в изучении феномена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Герменевтический подход в изучении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«Русский модернизм» как феномен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1) традиционные формы обучения (практическое занятие); </w:t>
      </w:r>
    </w:p>
    <w:p>
      <w:pPr/>
      <w:r>
        <w:rPr/>
        <w:t xml:space="preserve">2) интерактивные формы обучения, заключающиеся в обращении к интернет- </w:t>
      </w:r>
    </w:p>
    <w:p>
      <w:pPr/>
      <w:r>
        <w:rPr/>
        <w:t xml:space="preserve">ресурсам; </w:t>
      </w:r>
    </w:p>
    <w:p>
      <w:pPr/>
      <w:r>
        <w:rPr/>
        <w:t xml:space="preserve">3) проблемное обучение.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Темы эссе: </w:t>
      </w:r>
    </w:p>
    <w:p>
      <w:pPr>
        <w:numPr>
          <w:ilvl w:val="0"/>
          <w:numId w:val="1"/>
        </w:numPr>
      </w:pPr>
      <w:r>
        <w:rPr/>
        <w:t xml:space="preserve">Коммуникация и автокоммуникация в культуре.</w:t>
      </w:r>
    </w:p>
    <w:p>
      <w:pPr>
        <w:numPr>
          <w:ilvl w:val="0"/>
          <w:numId w:val="1"/>
        </w:numPr>
      </w:pPr>
      <w:r>
        <w:rPr/>
        <w:t xml:space="preserve">Система “Я-Он” и система “Я-Я” в культуре.</w:t>
      </w:r>
    </w:p>
    <w:p>
      <w:pPr>
        <w:numPr>
          <w:ilvl w:val="0"/>
          <w:numId w:val="1"/>
        </w:numPr>
      </w:pPr>
      <w:r>
        <w:rPr/>
        <w:t xml:space="preserve">“Разрушение” знака в современной культуре.</w:t>
      </w:r>
    </w:p>
    <w:p>
      <w:pPr>
        <w:numPr>
          <w:ilvl w:val="0"/>
          <w:numId w:val="1"/>
        </w:numPr>
      </w:pPr>
      <w:r>
        <w:rPr/>
        <w:t xml:space="preserve">Понятие “текста культуры”</w:t>
      </w:r>
    </w:p>
    <w:p>
      <w:pPr>
        <w:numPr>
          <w:ilvl w:val="0"/>
          <w:numId w:val="1"/>
        </w:numPr>
      </w:pPr>
      <w:r>
        <w:rPr/>
        <w:t xml:space="preserve"> Знак и символ в системе культуры.</w:t>
      </w:r>
    </w:p>
    <w:p>
      <w:pPr>
        <w:numPr>
          <w:ilvl w:val="0"/>
          <w:numId w:val="1"/>
        </w:numPr>
      </w:pPr>
      <w:r>
        <w:rPr/>
        <w:t xml:space="preserve"> “Символические пространства” в культуре.</w:t>
      </w:r>
    </w:p>
    <w:p>
      <w:pPr>
        <w:numPr>
          <w:ilvl w:val="0"/>
          <w:numId w:val="1"/>
        </w:numPr>
      </w:pPr>
      <w:r>
        <w:rPr/>
        <w:t xml:space="preserve"> Понимание. Онтология понимания.</w:t>
      </w:r>
    </w:p>
    <w:p>
      <w:pPr>
        <w:numPr>
          <w:ilvl w:val="0"/>
          <w:numId w:val="1"/>
        </w:numPr>
      </w:pPr>
      <w:r>
        <w:rPr/>
        <w:t xml:space="preserve"> “Тексты” культуры в опыте интерпретации</w:t>
      </w:r>
    </w:p>
    <w:p>
      <w:pPr>
        <w:numPr>
          <w:ilvl w:val="0"/>
          <w:numId w:val="1"/>
        </w:numPr>
      </w:pPr>
      <w:r>
        <w:rPr/>
        <w:t xml:space="preserve">Опыт критицизма в отношении к культуре в европейском</w:t>
      </w:r>
      <w:br/>
      <w:r>
        <w:rPr/>
        <w:t xml:space="preserve">и русском «прочтении»</w:t>
      </w:r>
    </w:p>
    <w:p>
      <w:pPr>
        <w:numPr>
          <w:ilvl w:val="0"/>
          <w:numId w:val="1"/>
        </w:numPr>
      </w:pPr>
      <w:r>
        <w:rPr/>
        <w:t xml:space="preserve"> Отношение к феномену нигилизма в отечественной культуре</w:t>
      </w:r>
      <w:br/>
      <w:r>
        <w:rPr/>
        <w:t xml:space="preserve">конца XIX — начала XX столетия</w:t>
      </w:r>
    </w:p>
    <w:p>
      <w:pPr>
        <w:numPr>
          <w:ilvl w:val="0"/>
          <w:numId w:val="1"/>
        </w:numPr>
      </w:pPr>
      <w:r>
        <w:rPr/>
        <w:t xml:space="preserve"> Тема целостности, как определяющая тема русской культуры и сознания</w:t>
      </w:r>
    </w:p>
    <w:p/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Темы для обсуждения</w:t>
      </w:r>
      <w:r>
        <w:rPr>
          <w:b w:val="1"/>
          <w:bCs w:val="1"/>
        </w:rPr>
        <w:t xml:space="preserve">: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Предмет культурологии.</w:t>
      </w:r>
    </w:p>
    <w:p>
      <w:pPr>
        <w:numPr>
          <w:ilvl w:val="0"/>
          <w:numId w:val="2"/>
        </w:numPr>
      </w:pPr>
      <w:r>
        <w:rPr/>
        <w:t xml:space="preserve">Предмет философии культуры.</w:t>
      </w:r>
    </w:p>
    <w:p>
      <w:pPr>
        <w:numPr>
          <w:ilvl w:val="0"/>
          <w:numId w:val="2"/>
        </w:numPr>
      </w:pPr>
      <w:r>
        <w:rPr/>
        <w:t xml:space="preserve">Междисциплинарный подход к изучению феномена культуры.</w:t>
      </w:r>
    </w:p>
    <w:p>
      <w:pPr>
        <w:numPr>
          <w:ilvl w:val="0"/>
          <w:numId w:val="2"/>
        </w:numPr>
      </w:pPr>
      <w:r>
        <w:rPr/>
        <w:t xml:space="preserve">Методологические проблемы исследования сущности культуры.</w:t>
      </w:r>
    </w:p>
    <w:p>
      <w:pPr>
        <w:numPr>
          <w:ilvl w:val="0"/>
          <w:numId w:val="2"/>
        </w:numPr>
      </w:pPr>
      <w:r>
        <w:rPr/>
        <w:t xml:space="preserve">Структура культурного бытия человека.</w:t>
      </w:r>
    </w:p>
    <w:p>
      <w:pPr>
        <w:numPr>
          <w:ilvl w:val="0"/>
          <w:numId w:val="2"/>
        </w:numPr>
      </w:pPr>
      <w:r>
        <w:rPr/>
        <w:t xml:space="preserve">Духовное и материальное в культуре.</w:t>
      </w:r>
    </w:p>
    <w:p>
      <w:pPr>
        <w:numPr>
          <w:ilvl w:val="0"/>
          <w:numId w:val="2"/>
        </w:numPr>
      </w:pPr>
      <w:r>
        <w:rPr/>
        <w:t xml:space="preserve">Артефактическое строение культуры.</w:t>
      </w:r>
    </w:p>
    <w:p>
      <w:pPr>
        <w:numPr>
          <w:ilvl w:val="0"/>
          <w:numId w:val="2"/>
        </w:numPr>
      </w:pPr>
      <w:r>
        <w:rPr/>
        <w:t xml:space="preserve">Природа и культура.</w:t>
      </w:r>
    </w:p>
    <w:p>
      <w:pPr>
        <w:numPr>
          <w:ilvl w:val="0"/>
          <w:numId w:val="2"/>
        </w:numPr>
      </w:pPr>
      <w:r>
        <w:rPr/>
        <w:t xml:space="preserve">Культура и цивилизация.</w:t>
      </w:r>
    </w:p>
    <w:p>
      <w:pPr>
        <w:numPr>
          <w:ilvl w:val="0"/>
          <w:numId w:val="2"/>
        </w:numPr>
      </w:pPr>
      <w:r>
        <w:rPr/>
        <w:t xml:space="preserve">Понятие цивилизации.</w:t>
      </w:r>
    </w:p>
    <w:p>
      <w:pPr>
        <w:numPr>
          <w:ilvl w:val="0"/>
          <w:numId w:val="2"/>
        </w:numPr>
      </w:pPr>
      <w:r>
        <w:rPr/>
        <w:t xml:space="preserve">Формация и цивилизация. Запад и Восток.</w:t>
      </w:r>
    </w:p>
    <w:p>
      <w:pPr>
        <w:numPr>
          <w:ilvl w:val="0"/>
          <w:numId w:val="2"/>
        </w:numPr>
      </w:pPr>
      <w:r>
        <w:rPr/>
        <w:t xml:space="preserve">Типологии культур.</w:t>
      </w:r>
    </w:p>
    <w:p>
      <w:pPr>
        <w:numPr>
          <w:ilvl w:val="0"/>
          <w:numId w:val="2"/>
        </w:numPr>
      </w:pPr>
      <w:r>
        <w:rPr/>
        <w:t xml:space="preserve">Миф, философия, религия, искусство, наука, как формы культуры.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Особенностью изучаемого предмета является овладение философским терминологическим аппаратом и необходимость формирования собственной мировоззренческой позиции. Поэтому в ходе лекций преподавателем дается необходимый терминологический аппарат, формулируются и разбираются наиболее сложные проблемы. Завершается изучение каждой темы на семинаре, где более глубоко и полно обсуждается одна из затронутых на лекции проблем. Практические занятия построены  таким образом, что каждый студент не просто может, но и должен показать свои знания по заданной теме (в виде эссе). </w:t>
      </w:r>
    </w:p>
    <w:p>
      <w:pPr/>
      <w:r>
        <w:rPr/>
        <w:t xml:space="preserve">Важную роль в овладении предмета играет самостоятельная работа обучающихся. В процессе учебы обучающийся выполняет следующие виды самостоятельной работы: — знакомство с литературой по курсу  (чтение текстов). Данный вид работы направлен на выработку навыка восприятия текстуальной информации, умения ее обобщать, анализировать, выделять в ней главное. Результаты работы с текстами обсуждаются на семинарских занятиях. В процессе данной работы формируется способность к логически аргументированному обоснованию собственной позиции по тому или иному вопросу, вырабатывается навык критико-рефлексивного мышления, развивается способность к коммуникации, диалогу, к дискуссии.  </w:t>
      </w:r>
    </w:p>
    <w:p>
      <w:pPr/>
      <w:r>
        <w:rPr/>
        <w:t xml:space="preserve">— подготовка эссе. Данный вид работы ориентированы на проявление творческих качеств личности, стимулируют потребность в саморазвитии и самосовершенствовании. Кроме того, написание эссе вырабатывают важные для культуры научного мышления навыки самостоятельной исследовательской работы. </w:t>
      </w:r>
    </w:p>
    <w:p>
      <w:pPr/>
      <w:r>
        <w:rPr>
          <w:b w:val="1"/>
          <w:bCs w:val="1"/>
        </w:rPr>
        <w:t xml:space="preserve">Рекомендации по написанию эссе:</w:t>
      </w:r>
      <w:r>
        <w:rPr/>
        <w:t xml:space="preserve"> </w:t>
      </w:r>
    </w:p>
    <w:p>
      <w:pPr/>
      <w:r>
        <w:rPr/>
        <w:t xml:space="preserve">Эссе обучающегося – это самостоятельная письменная работа на тему, предложенную преподавателем (тема может быть предложена и самим обучающимся, но обязательно должна быть согласована с преподавателем). Эссе – это сочинение небольшого, написанное на конкретную тему; свободной композиции (в эссе обучающегося не требуется такого раздела, как «оглавление» с четким перечислением глав и параграфов в силу небольшого объема работы); выражающее индивидуальные впечатления и соображения студента по конкретному вопросу; эссе не претендует на исчерпывающее раскрытие темы и представляет попытку обучающегося  передать свои собственные взгляды на проблему. </w:t>
      </w:r>
    </w:p>
    <w:p>
      <w:pPr/>
      <w:r>
        <w:rPr/>
        <w:t xml:space="preserve">Обучающимся можно порекомендовать следующие этапы работы по написанию эссе как размышление над проблемой: </w:t>
      </w:r>
    </w:p>
    <w:p>
      <w:pPr/>
      <w:r>
        <w:rPr/>
        <w:t xml:space="preserve">1) Необходимо уяснить суть вопроса, который вы намереваетесь рассмотреть в своей работе и четко определить свою позицию в этом вопросе. </w:t>
      </w:r>
    </w:p>
    <w:p>
      <w:pPr/>
      <w:r>
        <w:rPr/>
        <w:t xml:space="preserve">2) Найти в литературе или сформулировать самому иные, в том числе – альтернативные точки зрения по рассматриваемой проблеме. </w:t>
      </w:r>
    </w:p>
    <w:p>
      <w:pPr/>
      <w:r>
        <w:rPr/>
        <w:t xml:space="preserve">3) Изучить дополнительную литературу с целью подбора примеров и цитат, которые помогут аргументировано обосновать свою точку зрения и критически проанализировать взгляды, не совпадающие с Вашей позицией; здесь можно использовать не только тексты философских произведений, но и литературные источники, материалы из средств массовой информации, конспекты лекций, дискуссии на семинарских занятиях и т. п.;  </w:t>
      </w:r>
    </w:p>
    <w:p>
      <w:pPr/>
      <w:r>
        <w:rPr/>
        <w:t xml:space="preserve">4) В заключении не забыть сформулировать вывод </w:t>
      </w:r>
    </w:p>
    <w:p>
      <w:pPr/>
      <w:r>
        <w:rPr>
          <w:b w:val="1"/>
          <w:bCs w:val="1"/>
        </w:rPr>
        <w:t xml:space="preserve">Структура эссе-размышления </w:t>
      </w:r>
      <w:r>
        <w:rPr/>
        <w:t xml:space="preserve"> </w:t>
      </w:r>
    </w:p>
    <w:p>
      <w:pPr/>
      <w:r>
        <w:rPr/>
        <w:t xml:space="preserve">Эссе, ввиду его небольшого объема, обычно формально не структурируют (то есть, не разбивают на главы, параграфы, не выделяют в качестве особых разделов «Оглавление», «Введение», «Заключение», «Список литературы»). Тем не менее, в содержательном плане в тексте должны быть введение, основная часть и заключение. Эссе начинается с изложения того, как обучающийся сам понимает сущность поставленной в работе проблемы и с обоснования выбора именно этой темы, то есть с ответов на вопросы «о чем?» и «почему?» (Это, по сути, и есть «введение»).  </w:t>
      </w:r>
    </w:p>
    <w:p>
      <w:pPr/>
      <w:r>
        <w:rPr/>
        <w:t xml:space="preserve">Правила оформления эссе   Объем эссе – от 2-х до 7 страниц печатного текста. Листы должны быть пронумерованы и скреплены вместе. Гарнитура шрифта – Times New Roman. Размер шрифта – 14 кегль. Параметры страницы: поля по 2 см; абзац – 1,25 см. Межстрочный интервал – 1,5. Выравнивание текста производится по ширине страницы. Нумерация страниц проставляется в правом нижнем углу. Титульный лист эссе оформляется в соответствии с установленным стандартом.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 схемами и таблицами, предоставляя возможность их копирования обучающимися для самоподготовки и подготовки к зачету. Презентация позволяет преподавателю экономить время, затрачиваемое на написание на доске терминов, имен, схем, что дает возможность увеличить объем излагаемого материала. Кроме того, презентация позволяет иллюстрировать лекцию не только схемами и рисунками, которые есть в учебном пособии, но и фотографиями, портретами философов и т.д. Электронная презентация позволяет отобразить материал в динамике, что позволяет улучшить его восприятие. Завершается изучение каждой темы программы на семинаре, где более глубоко и полно обсуждается одна из затронутых на лекции проблем. Проведение практических занятий целесообразно строить следующим образом: </w:t>
      </w:r>
    </w:p>
    <w:p>
      <w:pPr>
        <w:numPr>
          <w:ilvl w:val="0"/>
          <w:numId w:val="3"/>
        </w:numPr>
      </w:pPr>
      <w:r>
        <w:rPr/>
        <w:t xml:space="preserve">Вводная часть преподавателя (цели занятия, основные вопросы, которые должны</w:t>
      </w:r>
    </w:p>
    <w:p>
      <w:pPr/>
      <w:r>
        <w:rPr/>
        <w:t xml:space="preserve">быть рассмотрены) </w:t>
      </w:r>
    </w:p>
    <w:p>
      <w:pPr>
        <w:numPr>
          <w:ilvl w:val="0"/>
          <w:numId w:val="4"/>
        </w:numPr>
      </w:pPr>
      <w:r>
        <w:rPr/>
        <w:t xml:space="preserve">Беглый опрос пройденного и текущего лекционного материала</w:t>
      </w:r>
    </w:p>
    <w:p>
      <w:pPr>
        <w:numPr>
          <w:ilvl w:val="0"/>
          <w:numId w:val="4"/>
        </w:numPr>
      </w:pPr>
      <w:r>
        <w:rPr/>
        <w:t xml:space="preserve">Обсуждение вопросов, вынесенных на самостоятельное изучение</w:t>
      </w:r>
    </w:p>
    <w:p>
      <w:pPr>
        <w:numPr>
          <w:ilvl w:val="0"/>
          <w:numId w:val="4"/>
        </w:numPr>
      </w:pPr>
      <w:r>
        <w:rPr/>
        <w:t xml:space="preserve">Обсуждение докладов или эссе, подготовленных обучающимися</w:t>
      </w:r>
    </w:p>
    <w:p>
      <w:pPr>
        <w:numPr>
          <w:ilvl w:val="0"/>
          <w:numId w:val="4"/>
        </w:numPr>
      </w:pPr>
      <w:r>
        <w:rPr/>
        <w:t xml:space="preserve">Проверка знаний обучающихся путем тестирования или письменного ответа на</w:t>
      </w:r>
    </w:p>
    <w:p>
      <w:pPr/>
      <w:r>
        <w:rPr/>
        <w:t xml:space="preserve">вопросы (при необходимости) </w:t>
      </w:r>
    </w:p>
    <w:p>
      <w:pPr>
        <w:numPr>
          <w:ilvl w:val="0"/>
          <w:numId w:val="5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 В процессе чтения курса преподаватель опирается на следующие методы:</w:t>
      </w:r>
    </w:p>
    <w:p>
      <w:pPr/>
      <w:r>
        <w:rPr/>
        <w:t xml:space="preserve">1 Объяснительно-иллюстративный метод. Обучающиеся получают знания на лекции, </w:t>
      </w:r>
    </w:p>
    <w:p>
      <w:pPr/>
      <w:r>
        <w:rPr/>
        <w:t xml:space="preserve">из учебной и методической литературы. </w:t>
      </w:r>
    </w:p>
    <w:p>
      <w:pPr/>
      <w:r>
        <w:rPr/>
        <w:t xml:space="preserve">2 Метод проблемного изложения. Вначале ставится проблема и формулируется познавательная задача, затем, раскрывая систему доказательств, сравнивая точки зрения, различные подходы, показывает способ решения поставленной задачи.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Антология мировой философии / ред. В.В. Соколов. - Москва : Мысль, 1969. - Т. 1. - Ч. 1. - 576 с. - ISBN 9785998938405; То же [Электронный ресурс]. - URL:</w:t>
      </w:r>
      <w:hyperlink r:id="rId7" w:history="1">
        <w:r>
          <w:rPr/>
          <w:t xml:space="preserve">http://biblioclub.ru/index.php?page=book&amp;id=52260 (24.03.2017) </w:t>
        </w:r>
      </w:hyperlink>
      <w:r>
        <w:rPr/>
        <w:t xml:space="preserve">.  </w:t>
      </w:r>
    </w:p>
    <w:p>
      <w:pPr>
        <w:numPr>
          <w:ilvl w:val="0"/>
          <w:numId w:val="6"/>
        </w:numPr>
      </w:pPr>
      <w:r>
        <w:rPr/>
        <w:t xml:space="preserve"> Истина и метод : основы философской герменевтики : перевод с немецкого / Г.-Г. Гадамер ; общ. ред. и вступ. ст. Б. Н. Бессонова. - Москва : Прогресс, 1988. - 699, [1] с. ; 21 см. -</w:t>
      </w:r>
    </w:p>
    <w:p>
      <w:pPr>
        <w:numPr>
          <w:ilvl w:val="0"/>
          <w:numId w:val="7"/>
        </w:numPr>
      </w:pPr>
      <w:r>
        <w:rPr/>
        <w:t xml:space="preserve">Гуревич, П. С. Философия культуры : учебное пособие для студентов гуманитарных вузов / П. С. Гуревич. - 2-е изд., доп. - Москва : Аспект Пресс, 1995. - 286,</w:t>
      </w:r>
    </w:p>
    <w:p>
      <w:pPr>
        <w:numPr>
          <w:ilvl w:val="0"/>
          <w:numId w:val="7"/>
        </w:numPr>
      </w:pPr>
      <w:r>
        <w:rPr/>
        <w:t xml:space="preserve">Древние цивилизации / [Аверинцев С. С. [и др.] ; под ред. Г. М. Бонгард-Левина. - Москва : Мысль, 1989. - 479 с. </w:t>
      </w:r>
    </w:p>
    <w:p>
      <w:pPr>
        <w:numPr>
          <w:ilvl w:val="0"/>
          <w:numId w:val="7"/>
        </w:numPr>
      </w:pPr>
      <w:r>
        <w:rPr/>
        <w:t xml:space="preserve">Из истории русской культуры, Т. 1, Древняя Русь. - Москва : Языки русской культуры, 2000. - 755 с. ;</w:t>
      </w:r>
    </w:p>
    <w:p>
      <w:pPr>
        <w:numPr>
          <w:ilvl w:val="0"/>
          <w:numId w:val="7"/>
        </w:numPr>
      </w:pPr>
      <w:r>
        <w:rPr/>
        <w:t xml:space="preserve">Каган, М. С. Философия культуры / Акад. гуманит. наук. С.-Петербург. гуманит. ун-т профсоюзов. Гос. науч. - исслед. программа "Народы России: возрождение и развитие". С.-Петербург. гос.ун-т. - Санкт-Петербург : Петрополис, 1996. –</w:t>
      </w:r>
    </w:p>
    <w:p>
      <w:pPr>
        <w:numPr>
          <w:ilvl w:val="0"/>
          <w:numId w:val="7"/>
        </w:numPr>
      </w:pPr>
      <w:r>
        <w:rPr/>
        <w:t xml:space="preserve">Каган, М. С. (СПбГУ). Диалектика бытия и небытия в жизни человеческого общества / М. С. Каган // Личность. Культура. Общество. - 2003. - Т. 5, N 3/4. - С. 29-43. - (Вопросы теории и методологии)</w:t>
      </w:r>
    </w:p>
    <w:p>
      <w:pPr>
        <w:numPr>
          <w:ilvl w:val="0"/>
          <w:numId w:val="7"/>
        </w:numPr>
      </w:pPr>
      <w:r>
        <w:rPr/>
        <w:t xml:space="preserve">Культурология : учебник для вузов : по дисциплине "Культурология" / [Дианова В. М. [и др.] ; под ред. Ю. Н. Солонина ; С.-Петерб. гос. ун-т. - 3-е изд., испр. и доп. - Москва : Юрайт, 2014. - 566 с. : ил. ; 22 см.</w:t>
      </w:r>
    </w:p>
    <w:p>
      <w:pPr>
        <w:numPr>
          <w:ilvl w:val="0"/>
          <w:numId w:val="7"/>
        </w:numPr>
      </w:pPr>
      <w:r>
        <w:rPr/>
        <w:t xml:space="preserve">Лотман, Ю. М. Избранные статьи : В 3т. / Ю. М. Лотман ; Оформ.М.Руйзо, Т. 1, Статьи по семиотике и типологии культуры. - Таллинн : Александра, 1992. - 479 с. </w:t>
      </w:r>
    </w:p>
    <w:p>
      <w:pPr>
        <w:numPr>
          <w:ilvl w:val="0"/>
          <w:numId w:val="7"/>
        </w:numPr>
      </w:pPr>
      <w:r>
        <w:rPr/>
        <w:t xml:space="preserve">Лотман, Ю. М. Культура и взрыв / Ю. М. Лотман. - Москва : Прогресс : Гнозис, 1992. - 271 с. </w:t>
      </w:r>
    </w:p>
    <w:p>
      <w:pPr>
        <w:numPr>
          <w:ilvl w:val="0"/>
          <w:numId w:val="7"/>
        </w:numPr>
      </w:pPr>
      <w:r>
        <w:rPr/>
        <w:t xml:space="preserve">Мифы и религии мира : учеб. пособие / [Антонова Е. В. и др. ; сост. и ред. С. Ю. Неклюдова ; худож. Михаил Гуров ; Рос. гос. гуманитарный ун-т, Ин-т высших гуманитарных исследований, Центр типологии и семиотики фольклора]. - Москва, 2004. - 428 с. </w:t>
      </w:r>
    </w:p>
    <w:p>
      <w:pPr>
        <w:numPr>
          <w:ilvl w:val="0"/>
          <w:numId w:val="7"/>
        </w:numPr>
      </w:pPr>
      <w:r>
        <w:rPr/>
        <w:t xml:space="preserve">Пивоев, В. М. Философия культуры : учебное пособие для студентов вузов, обучающихся по направлению и специальности "Культурология" / В. М. Пивоев. - [Изд. 3-е]. - Москва : Гаудеамус : Академический Проект, 2009. - 428 с. : табл. ; 21 см. - (Gaudeamus. Философия) (Учебное пособие для вузов). - Глоссарий по философии культуры: с. 408-423. </w:t>
      </w:r>
    </w:p>
    <w:p>
      <w:pPr>
        <w:numPr>
          <w:ilvl w:val="0"/>
          <w:numId w:val="7"/>
        </w:numPr>
      </w:pPr>
      <w:r>
        <w:rPr/>
        <w:t xml:space="preserve">Философия культуры : Становление и развитие : Учебное пособие / С.-Петербург. гос. ун-т ; Под ред. М.С. Когана, Ю.В. Перова, В.В. Прозерского, Э.П. Юровской. - Санкт-Петербург : Издательство С.-Петербург. ун-та, 1995. - 309 с.</w:t>
      </w:r>
    </w:p>
    <w:p>
      <w:pPr>
        <w:numPr>
          <w:ilvl w:val="0"/>
          <w:numId w:val="7"/>
        </w:numPr>
      </w:pPr>
      <w:r>
        <w:rPr/>
        <w:t xml:space="preserve">Философский энциклопедический словарь / [подготовили: А. Л. Грекулова [и др.] ; редколлегия: С. С. Аверинцев [и др.]. - 2-е изд. - Москва : Советская энциклопедия, 1989. - 815 с. ;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Аверинцев, С. С. "Морфология культуры" Освальда Шпенглера // </w:t>
      </w:r>
      <w:hyperlink r:id="rId8" w:history="1">
        <w:r>
          <w:rPr/>
          <w:t xml:space="preserve">Ежегодник философского общества СССР.1991 / Философское общество СССР. - Москва, 1991. - С.183-203</w:t>
        </w:r>
      </w:hyperlink>
    </w:p>
    <w:p>
      <w:pPr>
        <w:numPr>
          <w:ilvl w:val="0"/>
          <w:numId w:val="8"/>
        </w:numPr>
      </w:pPr>
      <w:r>
        <w:rPr/>
        <w:t xml:space="preserve">Аверинцев, С. С. Крещение Руси и путь русской культуры // </w:t>
      </w:r>
      <w:hyperlink r:id="rId9" w:history="1">
        <w:r>
          <w:rPr/>
          <w:t xml:space="preserve">Русское зарубежье в год тысячелетия крещения Руси. - Москва, 1991. - С.52-60</w:t>
        </w:r>
      </w:hyperlink>
    </w:p>
    <w:p>
      <w:pPr>
        <w:numPr>
          <w:ilvl w:val="0"/>
          <w:numId w:val="8"/>
        </w:numPr>
      </w:pPr>
      <w:r>
        <w:rPr/>
        <w:t xml:space="preserve">Аверинцев, С. С. Поэты. - Москва : Языки русской культуры, 1996. - 364 с. </w:t>
      </w:r>
    </w:p>
    <w:p>
      <w:pPr>
        <w:numPr>
          <w:ilvl w:val="0"/>
          <w:numId w:val="8"/>
        </w:numPr>
      </w:pPr>
      <w:r>
        <w:rPr/>
        <w:t xml:space="preserve">Аверинцев, С. С. Риторика и истоки европейской литературной традиции. - Москва : Издательство Школа "Языки русской культуры", 1996. - 447 с. ; </w:t>
      </w:r>
    </w:p>
    <w:p>
      <w:pPr>
        <w:numPr>
          <w:ilvl w:val="0"/>
          <w:numId w:val="8"/>
        </w:numPr>
      </w:pPr>
      <w:r>
        <w:rPr/>
        <w:t xml:space="preserve">Аверинцев, С. С. Язык как совместное обладание эпох и поколений // </w:t>
      </w:r>
      <w:hyperlink r:id="rId10" w:history="1">
        <w:r>
          <w:rPr/>
          <w:t xml:space="preserve">Связь времен. - Москва, 2001. - С. 59-67. </w:t>
        </w:r>
      </w:hyperlink>
    </w:p>
    <w:p>
      <w:pPr>
        <w:numPr>
          <w:ilvl w:val="0"/>
          <w:numId w:val="8"/>
        </w:numPr>
      </w:pPr>
      <w:r>
        <w:rPr/>
        <w:t xml:space="preserve">Бахтин, М. М. Автор и герой : К философским основам гуманитарных наук / Михаил Бахтин ; Сост.,вступ. ст. С.Г. Бочарова ; Примеч. С.Г. Бочарова, С.С. Аверинцева. - Санкт-Петербург : Азбука, 2000. - 333 с.</w:t>
      </w:r>
    </w:p>
    <w:p>
      <w:pPr>
        <w:numPr>
          <w:ilvl w:val="0"/>
          <w:numId w:val="8"/>
        </w:numPr>
      </w:pPr>
      <w:r>
        <w:rPr/>
        <w:t xml:space="preserve">Бибихин, В. В. К вопросу о неподвижном перводвигателе // </w:t>
      </w:r>
      <w:hyperlink r:id="rId11" w:history="1">
        <w:r>
          <w:rPr/>
          <w:t xml:space="preserve">Истина и благо: универсальное и сингулярное. - Москва, 2002. - С. 66-97. –</w:t>
        </w:r>
      </w:hyperlink>
    </w:p>
    <w:p>
      <w:pPr>
        <w:numPr>
          <w:ilvl w:val="0"/>
          <w:numId w:val="8"/>
        </w:numPr>
      </w:pPr>
      <w:r>
        <w:rPr/>
        <w:t xml:space="preserve">Бибихин, В. В. Новый ренессанс / Худож.А.Б.Орешина. - Москва : Прогресс-Традиция : Hаука, 1998. - 495 с</w:t>
      </w:r>
    </w:p>
    <w:p>
      <w:pPr>
        <w:numPr>
          <w:ilvl w:val="0"/>
          <w:numId w:val="8"/>
        </w:numPr>
      </w:pPr>
      <w:r>
        <w:rPr/>
        <w:t xml:space="preserve">Бибихин, В. В. Язык философии / Бибихин В. В. - Изд. 3-е, стер. - Санкт-Петербург : Наука, 2007. - 389 с.,</w:t>
      </w:r>
    </w:p>
    <w:p>
      <w:pPr>
        <w:numPr>
          <w:ilvl w:val="0"/>
          <w:numId w:val="8"/>
        </w:numPr>
      </w:pPr>
      <w:r>
        <w:rPr/>
        <w:t xml:space="preserve">Библер, В. С.     На гранях логики культуры : (Владимир Библер. Выбранные мысли на тему образования и культуры) / Владимир Библер // Декоративное искусство. - 2004. - N 5/6. - С. 66-67. - (Образование и культура). - Рез. англ.- Отрывки из кн.: Библер В. С. На гранях логики культуры: книга избранных очерков.- М., 1997</w:t>
      </w:r>
    </w:p>
    <w:p>
      <w:pPr>
        <w:numPr>
          <w:ilvl w:val="0"/>
          <w:numId w:val="8"/>
        </w:numPr>
      </w:pPr>
      <w:r>
        <w:rPr/>
        <w:t xml:space="preserve">Григорий Палама. Триады в защиту священно-безмолвствующих / Св. Григорий Палама ; пер. с греч., [послесл.] В. В. Бибихина. - Изд. 2-е, стер. - Санкт-Петербург : Наука, 2007. - 429 с. </w:t>
      </w:r>
    </w:p>
    <w:p>
      <w:pPr>
        <w:numPr>
          <w:ilvl w:val="0"/>
          <w:numId w:val="8"/>
        </w:numPr>
      </w:pPr>
      <w:r>
        <w:rPr/>
        <w:t xml:space="preserve">Кузнецов, А. М. (доктор исторических наук). Концепты "культура" и "цивилизация" как средство проблематизации методологии современных социально-гуманитарных наук [Текст] / А. М. Кузнецов // Философия и культура. - 2015. - № 3 (87). - С. 457-468. </w:t>
      </w:r>
    </w:p>
    <w:p>
      <w:pPr>
        <w:numPr>
          <w:ilvl w:val="0"/>
          <w:numId w:val="8"/>
        </w:numPr>
      </w:pPr>
      <w:r>
        <w:rPr/>
        <w:t xml:space="preserve">Культурология в контексте гуманитарного знания [Текст] // </w:t>
      </w:r>
      <w:hyperlink r:id="rId12" w:history="1">
        <w:r>
          <w:rPr/>
          <w:t xml:space="preserve">Вестник Российского философского общества. - 2013. - № 1 (65). - С. 187. </w:t>
        </w:r>
      </w:hyperlink>
    </w:p>
    <w:p>
      <w:pPr>
        <w:numPr>
          <w:ilvl w:val="0"/>
          <w:numId w:val="8"/>
        </w:numPr>
      </w:pPr>
      <w:r>
        <w:rPr/>
        <w:t xml:space="preserve">Левит, C. Я.     Культурология и философия: новые издания в серии "Российские Пропилеи" : [обзор] / C. Я. Левит [Текст] // Культурология. - 2018. - № 3. - С. 15-29</w:t>
      </w:r>
    </w:p>
    <w:p>
      <w:pPr>
        <w:numPr>
          <w:ilvl w:val="0"/>
          <w:numId w:val="8"/>
        </w:numPr>
      </w:pPr>
      <w:r>
        <w:rPr/>
        <w:t xml:space="preserve">М.М. Бахтин: pro et contra : Личность и творчество М.М. Бахтина в оценке русской и мировой гуманитарной мысли : Антология / Северо-Запад. отд-ние Рос. акад. образования. Рус. Христиан. гуманит. ин-т ; Сост., вступ. ст. и коммент. К.Г. Исупова, Т. 1. - Санкт-Петербург : Издательство Русского Христианского гуманитарного института, 2001. - 551 с. ; 21 см.</w:t>
      </w:r>
    </w:p>
    <w:p>
      <w:pPr>
        <w:numPr>
          <w:ilvl w:val="0"/>
          <w:numId w:val="8"/>
        </w:numPr>
      </w:pPr>
      <w:r>
        <w:rPr/>
        <w:t xml:space="preserve">Мифология : Энциклопедия / Гл. ред. Е.М. Мелетинский ; Редкол.: С.С. Аверинцев [и др.]. - Репринт. - Москва : Большая Российская энциклопедия, 2003. - 736 с.</w:t>
      </w:r>
    </w:p>
    <w:p>
      <w:pPr>
        <w:numPr>
          <w:ilvl w:val="0"/>
          <w:numId w:val="8"/>
        </w:numPr>
      </w:pPr>
      <w:r>
        <w:rPr/>
        <w:t xml:space="preserve">Монин, М. А. (кандидат философских наук; доцент).</w:t>
      </w:r>
      <w:br/>
      <w:r>
        <w:rPr/>
        <w:t xml:space="preserve">Культурология и/или culture studies / М. А. Монин [Текст] // Вестник Московского университета, Сер. 7, Философия. - 2017. - № 1. - С. 78-84. –</w:t>
      </w:r>
    </w:p>
    <w:p>
      <w:pPr>
        <w:numPr>
          <w:ilvl w:val="0"/>
          <w:numId w:val="8"/>
        </w:numPr>
      </w:pPr>
      <w:r>
        <w:rPr/>
        <w:t xml:space="preserve">Памятники средневековой латинской литературы IУ-УП веков / Рос. акад. наук, Ин-т мировой литературы им. А. М. Горького ; отв. ред. С. С. Аверинцев, М. Л. Гаспаров. - Москва : Наследие, 1998. - 471 с. </w:t>
      </w:r>
    </w:p>
    <w:p>
      <w:pPr>
        <w:numPr>
          <w:ilvl w:val="0"/>
          <w:numId w:val="8"/>
        </w:numPr>
      </w:pPr>
      <w:r>
        <w:rPr/>
        <w:t xml:space="preserve">Солонин, Ю. Н. Философия культуры и модернизм: фрагменты польской традиции // Вестник Санкт-Петербургского университета. Серия 6. Философия,политология, социология, психология, право, международные отношения. - 1995. - Вып. 4. - С. 16-25.</w:t>
      </w:r>
    </w:p>
    <w:p>
      <w:pPr>
        <w:numPr>
          <w:ilvl w:val="0"/>
          <w:numId w:val="8"/>
        </w:numPr>
      </w:pPr>
      <w:r>
        <w:rPr/>
        <w:t xml:space="preserve">Солонин, Ю. Н. Философия культуры: методологическая оценка кризиса культур // </w:t>
      </w:r>
      <w:hyperlink r:id="rId13" w:history="1">
        <w:r>
          <w:rPr/>
          <w:t xml:space="preserve">Гуманитарное знание: сущность и функции: Межвуз.сб. - Санкт-Петербург, 1990. - С. 128-137</w:t>
        </w:r>
      </w:hyperlink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Хайдеггер, М. Бытие и время / Мартин Хайдеггер ; пер. с нем. В. В. Бибихина. - Изд. 3-е, испр. - Москва : Академический Проект, 2011. - 452 с. ; 21 см. - (Философские технологии). - Прил.: с. 438-447.</w:t>
      </w:r>
    </w:p>
    <w:p>
      <w:pPr>
        <w:numPr>
          <w:ilvl w:val="0"/>
          <w:numId w:val="8"/>
        </w:numPr>
      </w:pPr>
      <w:r>
        <w:rPr/>
        <w:t xml:space="preserve">Хайдеггер, М. Время и бытие : статьи и выступления / Мартин Хайдеггер ; пер. с нем. В. В. Бибихина. - Санкт-Петербург : Наука, 2007. - 621 с. ; 22 см. - (Слово о сущем ; Т. 70). - Примеч.: с. 563-603. - Темат. указ.: с. 604-617.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а) программное обеспечение </w:t>
      </w:r>
    </w:p>
    <w:p>
      <w:pPr/>
      <w:r>
        <w:rPr/>
        <w:t xml:space="preserve">1. Пакет Microsoft Office 2007-2010 (Word, Excel, Power Point) </w:t>
      </w:r>
    </w:p>
    <w:p>
      <w:pPr/>
      <w:r>
        <w:rPr/>
        <w:t xml:space="preserve">2. Пакет для просмотра и печати документов Adobe Acrobat Reader </w:t>
      </w:r>
    </w:p>
    <w:p>
      <w:pPr/>
      <w:r>
        <w:rPr/>
        <w:t xml:space="preserve">3. Средства поиска информации в глобальной сети Интернет и веб-пространстве: MS Internet Explorer, Mozilla Firefox, Opera и др. </w:t>
      </w:r>
    </w:p>
    <w:p>
      <w:pPr/>
      <w:r>
        <w:rPr/>
        <w:t xml:space="preserve">б) интернет-ресурсы </w:t>
      </w:r>
    </w:p>
    <w:p>
      <w:pPr/>
      <w:r>
        <w:rPr/>
        <w:t xml:space="preserve">Электронный каталог Научной библиотеки ПетрГУ. URL:  </w:t>
      </w:r>
      <w:hyperlink r:id="rId14" w:history="1">
        <w:r>
          <w:rPr/>
          <w:t xml:space="preserve">http://foliant.ru/catalog/psulibr</w:t>
        </w:r>
      </w:hyperlink>
      <w:r>
        <w:rPr/>
        <w:t xml:space="preserve">  </w:t>
      </w:r>
    </w:p>
    <w:p>
      <w:pPr/>
      <w:r>
        <w:rPr/>
        <w:t xml:space="preserve">Электронная библиотечная система «Университетская библиотека онлайн». URL:  </w:t>
      </w:r>
      <w:hyperlink r:id="rId15" w:history="1">
        <w:r>
          <w:rPr/>
          <w:t xml:space="preserve">http://biblioclub.ru/</w:t>
        </w:r>
      </w:hyperlink>
      <w:r>
        <w:rPr/>
        <w:t xml:space="preserve">  </w:t>
      </w:r>
    </w:p>
    <w:p>
      <w:pPr/>
      <w:r>
        <w:rPr/>
        <w:t xml:space="preserve">Библиотека Петрозаводского государственного университета. URL:  </w:t>
      </w:r>
      <w:hyperlink r:id="rId16" w:history="1">
        <w:r>
          <w:rPr/>
          <w:t xml:space="preserve">http://library.petrsu.ru</w:t>
        </w:r>
      </w:hyperlink>
      <w:r>
        <w:rPr/>
        <w:t xml:space="preserve"> </w:t>
      </w:r>
    </w:p>
    <w:p>
      <w:pPr/>
      <w:r>
        <w:rPr/>
        <w:t xml:space="preserve">Библиотека СПбГУ. URL:  </w:t>
      </w:r>
      <w:hyperlink r:id="rId17" w:history="1">
        <w:r>
          <w:rPr/>
          <w:t xml:space="preserve">http://www.lib.pu.ru</w:t>
        </w:r>
      </w:hyperlink>
      <w:r>
        <w:rPr/>
        <w:t xml:space="preserve"> </w:t>
      </w:r>
    </w:p>
    <w:p>
      <w:pPr/>
      <w:r>
        <w:rPr/>
        <w:t xml:space="preserve">Библиотека Максима Мошкова. URL:   http://lib.ru </w:t>
      </w:r>
    </w:p>
    <w:p>
      <w:pPr/>
      <w:r>
        <w:rPr/>
        <w:t xml:space="preserve">Российская национальная библиотека. URL:  </w:t>
      </w:r>
      <w:hyperlink r:id="rId18" w:history="1">
        <w:r>
          <w:rPr/>
          <w:t xml:space="preserve">http://www.nlr.ru</w:t>
        </w:r>
      </w:hyperlink>
      <w:r>
        <w:rPr/>
        <w:t xml:space="preserve"> </w:t>
      </w:r>
    </w:p>
    <w:p>
      <w:pPr/>
      <w:r>
        <w:rPr/>
        <w:t xml:space="preserve">Сайт Института Философии Российской Академии Наук. URL:  </w:t>
      </w:r>
      <w:hyperlink r:id="rId19" w:history="1">
        <w:r>
          <w:rPr/>
          <w:t xml:space="preserve">http://www.philosophy.ru</w:t>
        </w:r>
      </w:hyperlink>
      <w:r>
        <w:rPr/>
        <w:t xml:space="preserve"> </w:t>
      </w:r>
    </w:p>
    <w:p>
      <w:pPr/>
      <w:r>
        <w:rPr/>
        <w:t xml:space="preserve">Сайт кафедры философской антропологии философского факультета Санкт-Петербургского Государственного Университета. URL:  </w:t>
      </w:r>
      <w:hyperlink r:id="rId20" w:history="1">
        <w:r>
          <w:rPr/>
          <w:t xml:space="preserve">http://www.antropology.ru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A0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DBA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15F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90F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70A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1E7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6CD85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EE7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5CBB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2260%C2%A0" TargetMode="External"/><Relationship Id="rId8" Type="http://schemas.openxmlformats.org/officeDocument/2006/relationships/hyperlink" Target="http://foliant.ru/catalog/psulibr?BOOK_UP+000155+072E73+-1+-1" TargetMode="External"/><Relationship Id="rId9" Type="http://schemas.openxmlformats.org/officeDocument/2006/relationships/hyperlink" Target="http://foliant.ru/catalog/psulibr?BOOK_UP+000155+04CA91+-1+-1" TargetMode="External"/><Relationship Id="rId10" Type="http://schemas.openxmlformats.org/officeDocument/2006/relationships/hyperlink" Target="http://foliant.ru/catalog/psulibr?BOOK_UP+000155+1149BA+-1+-1" TargetMode="External"/><Relationship Id="rId11" Type="http://schemas.openxmlformats.org/officeDocument/2006/relationships/hyperlink" Target="http://foliant.ru/catalog/psulibr?BOOK_UP+000155+363FC1+-1+-1" TargetMode="External"/><Relationship Id="rId12" Type="http://schemas.openxmlformats.org/officeDocument/2006/relationships/hyperlink" Target="http://foliant.ru/catalog/psulibr?BOOK_UP+000DAD+59DC6C+-1+-1" TargetMode="External"/><Relationship Id="rId13" Type="http://schemas.openxmlformats.org/officeDocument/2006/relationships/hyperlink" Target="http://foliant.ru/catalog/psulibr?BOOK_UP+000155+04FE90+-1+-1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biblioclub.ru/" TargetMode="External"/><Relationship Id="rId16" Type="http://schemas.openxmlformats.org/officeDocument/2006/relationships/hyperlink" Target="https://clck.yandex.ru/redir/dv/*data=url%3Dhttp%253A%252F%252Flibrary.petrsu.ru%252F%26ts%3D1480007066%26uid%3D4491656721473413458&amp;sign=e840c90718b0b4a50dfa0b063a7c6f29&amp;keyno=1" TargetMode="External"/><Relationship Id="rId17" Type="http://schemas.openxmlformats.org/officeDocument/2006/relationships/hyperlink" Target="https://clck.yandex.ru/redir/dv/*data=url%3Dhttp%253A%252F%252Fwww.lib.pu.ru%252F%26ts%3D1480007066%26uid%3D4491656721473413458&amp;sign=0a8172970364993aeb068d5ba5da7655&amp;keyno=1" TargetMode="External"/><Relationship Id="rId18" Type="http://schemas.openxmlformats.org/officeDocument/2006/relationships/hyperlink" Target="https://clck.yandex.ru/redir/dv/*data=url%3Dhttp%253A%252F%252Fwww.nlr.ru%252F%26ts%3D1480007066%26uid%3D4491656721473413458&amp;sign=25db3cab6b1a0e34889fe2d5140f5ec6&amp;keyno=1" TargetMode="External"/><Relationship Id="rId19" Type="http://schemas.openxmlformats.org/officeDocument/2006/relationships/hyperlink" Target="https://clck.yandex.ru/redir/dv/*data=url%3Dhttp%253A%252F%252Fwww.philosophy.ru%252F%26ts%3D1480007066%26uid%3D4491656721473413458&amp;sign=db2c9e9470827a7fe2ccdfb77ef33066&amp;keyno=1" TargetMode="External"/><Relationship Id="rId20" Type="http://schemas.openxmlformats.org/officeDocument/2006/relationships/hyperlink" Target="https://clck.yandex.ru/redir/dv/*data=url%3Dhttp%253A%252F%252Fwww.antropology.ru%252F%26ts%3D1480007066%26uid%3D4491656721473413458&amp;sign=a819eb019b73c69bdaaa6878d0aa9487&amp;keyn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2026-04-21T09:27:45+03:00</dcterms:created>
  <dcterms:modified xsi:type="dcterms:W3CDTF">2026-04-21T09:27:45+03:00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