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КУЛЬТУРНО-ДОСУГОВОЙ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культурно-досуговой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«ТЕОРИЯ И МЕТОДИКА КУЛЬТУРНО-ДОСУГОВОЙ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1. Теория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Социальные функции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Принципы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2. Технология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Содержание, формы, средства и методы культурно-досуговой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Дифференцированный подход в организации культурнодосуговых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 принципы культурно-воспитательной деятельности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Музыкальное оформление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методика подготовки и проведения культурно-досуговых программ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подготовки, организации и проведения массовых форм досуга…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Сценарий – основа досуговой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Творческие аспекты обучения драматургии культурно-досуговых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Раздел 3. Формы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традиционных форм культурно-досуговой, воспитательной работы с детьми и подростками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Статичные формы (представления)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Созидание - гуляние как особый тип форм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культурно-досуговой работы типа «путешествие»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Особенности работы с семьей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работа с людьми пожилого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Социально-культурная адаптация инвалидов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работы с молодежной аудиторией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Добровольные (волонтерские) объединения молодежи как форма организации социально-культурного досуга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Культурно-досуговая среда учреждений культуры.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Сценарные основы технологии культурно-досуговой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Реклама в культурно-досуговой деятельности.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режиссуру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режиссуры досуговых мероприятий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сценарием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досуговых мероприятий.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концертов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над созданием номеров различных эстрадных жанров.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эстрадных представлений и концертов.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экзамеционному мероприятию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Педагогические технологии используемые в процессе освоения дисциплины "Организация культурно- досуговой деятельности"</w:t>
      </w:r>
    </w:p>
    <w:p>
      <w:pPr/>
      <w:r>
        <w:rPr/>
        <w:t xml:space="preserve">Проблемное обучение :</w:t>
      </w:r>
    </w:p>
    <w:p>
      <w:pPr/>
      <w:r>
        <w:rPr/>
        <w:t xml:space="preserve">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>
      <w:pPr/>
      <w:r>
        <w:rPr/>
        <w:t xml:space="preserve">Разноуровневое обучение:</w:t>
      </w:r>
    </w:p>
    <w:p>
      <w:pPr/>
      <w:r>
        <w:rPr/>
        <w:t xml:space="preserve">У преподавателя появляется возможность помогать слабому, уделять внимание сильному, реализуется желание сильных учащихся быстрее и глубже продвигаться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ученья.</w:t>
      </w:r>
    </w:p>
    <w:p>
      <w:pPr/>
      <w:r>
        <w:rPr/>
        <w:t xml:space="preserve">Проектные методы обучения :</w:t>
      </w:r>
    </w:p>
    <w:p>
      <w:pPr/>
      <w:r>
        <w:rPr/>
        <w:t xml:space="preserve">Работа по данной методике дает возможность развивать индивидуальные творческие способности учащихся, более осознанно подходить к профессиональному социальному самоопределению</w:t>
      </w:r>
    </w:p>
    <w:p>
      <w:pPr/>
      <w:r>
        <w:rPr/>
        <w:t xml:space="preserve">Исследовательские методы в обучении:</w:t>
      </w:r>
    </w:p>
    <w:p>
      <w:pPr/>
      <w:r>
        <w:rPr/>
        <w:t xml:space="preserve">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студента в профессиональной деятельности.</w:t>
      </w:r>
    </w:p>
    <w:p>
      <w:pPr/>
      <w:r>
        <w:rPr/>
        <w:t xml:space="preserve">Лекционно-семинарско- зачетная система:</w:t>
      </w:r>
    </w:p>
    <w:p>
      <w:pPr/>
      <w:r>
        <w:rPr/>
        <w:t xml:space="preserve">Данная система используется в основном в старшей школе, т.к. это помогает учащимся подготовиться к обучению в ВУЗах. Дает возможность, студентам научиться находить общий язык с различными категориями детей( по возрастной градации) сконцентрировать материал в блоки и преподносить его как единое целое, а контроль проводить по предварительной подготовке учащихся.</w:t>
      </w:r>
    </w:p>
    <w:p>
      <w:pPr/>
      <w:r>
        <w:rPr/>
        <w:t xml:space="preserve">Технология использования в обучении игровых методов: ролевых, деловых, и других видов обучающих игр Расширение кругозора, развитие познавательной деятельности, формирование определенных умений и навыков, необходимых в практической деятельности, развитие обще учебных умений и навыков. Обучение в сотрудничестве (командная, групповая работа) Сотрудничество трактуется как идея совместной развивающей деятельности взрослых и детей, Суть индивидуального подхода в том, чтобы идти не от учебного предмета, а от ребенка к предмету, идти от тех возможностей, которыми располагает ребенок, применять психолого-педагогические диагностики личности. Информационно- коммуникационные технологии Изменение и неограниченное обогащение содержания образования, использование интегрированных курсов, доступ в ИНТЕРНЕТ.</w:t>
      </w:r>
    </w:p>
    <w:p>
      <w:pPr/>
      <w:r>
        <w:rPr/>
        <w:t xml:space="preserve">Импровизация в проведении спортивно и культурно массовых мероприятий.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Конспекты на темы:</w:t>
      </w:r>
    </w:p>
    <w:p>
      <w:pPr/>
      <w:r>
        <w:rPr/>
        <w:t xml:space="preserve">1) Исторические корни и социальная природа досуга.</w:t>
      </w:r>
    </w:p>
    <w:p>
      <w:pPr/>
      <w:r>
        <w:rPr/>
        <w:t xml:space="preserve">2) Понятия «свободное время», «досуг», «досуговая деятельность», «культурно-досуговая деятельность».</w:t>
      </w:r>
    </w:p>
    <w:p>
      <w:pPr/>
      <w:r>
        <w:rPr/>
        <w:t xml:space="preserve">3) Функции досуга. Структура досуга.</w:t>
      </w:r>
    </w:p>
    <w:p>
      <w:pPr/>
      <w:r>
        <w:rPr/>
        <w:t xml:space="preserve">4) Основные направления досуговой деятельности детей и подростков в учреждениях дополнительного образования детей. 5) Понятия «свободное время», «досуг», «досуговая деятельность», «культурнодосуговая деятельность», функции и структура досуга.</w:t>
      </w:r>
    </w:p>
    <w:p>
      <w:pPr/>
      <w:r>
        <w:rPr/>
        <w:t xml:space="preserve">6) Основные направления досуговой деятельности детей и подростков в учреждениях дополнительного образования детей.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оптимальной организации самостоятельной работы студентов необходимы методические рекомендации, в которых указываются задания к семинарским и практическим занятиям, характеристики и примерные задания контрольных мероприятий, перечень основных и дополнительных источников, необходимых для подготовки ответов на поставленные вопросы наряду с лекционным материалом. Подготовка к рубежному контролю предполагает повторение пройденного материала и не требует специальной предварительной работы тех студентов, которые качественно освоили содержание лекционных, семинарских и практических занятий. Студентам, которые не выполняют план освоения дисциплины, рекомендуется выполнение дополнительных заданий. Тем самым, достигается не только решение задач самостоятельной подготовки в условиях ее предельно ограниченной трудоемкости, но и стимулирование мотивации студентов к посещению лекционных занятий, на основе которых составляются задания рубежного контроля, а также к активной работе на семинарских и практических занятиях. Методические рекомендации по решению задач Задачи решаются письменно по следующему алгоритму: следует сначала кратко дать ответ на поставленный вопрос, а затем его правовое и/или теоретическое обоснование. Вариант решения задачи должен быть обоснован, например, ссылками на статьи нормативно-правового акта (актов) или иного источника, с указанием части и пункта. Обоснование решения при необходимости может предлагаться исходя из теоретических понятий и толкования закона. Особое внимание на систему аргументов следует обратить в случае, когда требуется анализ спорной правовой ситуации. Методические рекомендации по созданию графических материалов С помощью лекционных материалов, нормативных источников, материалов учебника(ов) формируется необходимая информационная база для выполнения задания. Далее составляется перечень графических объектов, с помощью которого можно наиболее полно и в то же время кратко раскрыть содержание конкретной темы, используя различные методы анализа – структурно-функциональный, сравнительный, типологический, причинно-следственный. Учебные схемы, диаграммы и таблицы могут характеризовать состав явлений и процессов, структуру, типологические связи и т.д. Графической основой схем служат геометрические фигуры: прямоугольники, треугольники, круги, а также их соединения (линии, стрелки). Рекомендуется использовать графические средства Microsoft Office Word. Количество схем, создаваемых при выполнении задания, может быть различным и колебаться в диапазоне от 4 до 12. Чем более просты композиция и содержание схем, тем большим должно быть их количество (и наоборот). Перед каждой отдельной схемой должно располагаться ее название. Рейтинговая оценка учитывает полноту раскрытия темы; сложность и разнообразие графических решений; комплексный характер разработанных графических материалов, логичность и последовательность в их расположении. Методические рекомендации по написанию эссе Эссе – это небольшая по объему письменная работа, сочетающая субъективные авторские рассуждения по заданной теме с элементами научного анализа. Основная задача автора заключается не в комплексном и последовательном раскрытии темы, а в оригинальном раскрытии проблемы, выборе своеобразного ракурса ее рассмотрения, формулировке своего мнения в полемике с представителями иных взглядов. Поэтому подготовка эссе напоминает участие в дискуссии. Но к эссе предъявляются и вполне строгие требования научности. Субъективность автора должна опираться на знание предмета анализа, а не легковесные суждения и домыслы. Текст эссе не должен превратиться в несвязанный «поток сознания». Несмотря на то, что для эссе не характерна строгая формализованная структура, требуется вполне четкая и осмысленная авторская логика рассуждений. Ярко выраженную оригинальность эссе приобретает при наличии неожиданного хода в раскрытии темы, с помощью которой можно удивить, смутить или заинтриговать читателя. Парадоксальность – это одна из ключевых жанровых черт эссе. Ход размышлений может также подкрепляться яркими цитатами, интересными примерами, аналогиями и ассоциациями. Текст эссе должен быть легко читаем, но необходимо избегать разговорного стиля, сленга, шаблонных фраз. Вывод эссе не обязательно формулируется в качестве заключения, но нужно помнить об эффекте «последней фразы». Оформление ссылок и список использованной литературы не требуется. Объем не более 4 страниц А 4 (Times New Roman, 12 шрифтом, одинарный интервал). Методические рекомендации по составлению комплекта лекций Требования к комплекту тестов: – должны быть сбалансировано представлены все вопросы выбранной темы (из изучаемых в данном семестре); – подготовленные тестовые задания должны быть построены по уровневому принципу и включать различные типы тестов – общее количество разработанных тестов должно составить не менее 20; – во всех тестовых заданиях (как «закрытых», так и «открытых») должны быть указаны или сформулированы правильные и полные ответы.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Методические рекомендации преподавателю по организации учебного процесса по дисциплине Преподавание учебной дисциплины осуществляется в соответствии с Федеральными государственными образовательными стандартами высшего профессионального образования, с учетом компетентностного подхода к обучению студентов. Способы и средства обеспечения освоения дисциплины При изучении дисциплины рекомендуется использовать следующий набор средств и способов обучения: – рекомендуемая основная и дополнительная литература; – задания на семинарские и практические занятия (обсуждаемые вопросы, кейс задания, расчетные задачи и др.); – задания для текущего контроля успеваемости (домашние задания студентам, тестовые задания в рамках электронной системы тестирования); – вопросы для подготовки к промежуточной аттестации по итогам освоения дисциплины; – задания к промежуточной аттестации, по итогам освоения дисциплины позволяющие оценить знания, умения и уровень приобретенных компетенций. Источник: http://kursak.net/metodicheskie-rekomendacii-prepodavatelyu-po-organizacii-uchebnogo-processa-po-discipline/ © kursak.net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Список литературы.</w:t>
      </w:r>
    </w:p>
    <w:p>
      <w:pPr/>
      <w:r>
        <w:rPr/>
        <w:t xml:space="preserve">1. Афанасьев С.П. Коморuн С.В. «Чем занять детей в пришкольном лагере, или Сто отрядных дел»: Методическое пособие.- Кострома: РЦ НИТ «Эврика –М». 1998. -112 с.</w:t>
      </w:r>
    </w:p>
    <w:p>
      <w:pPr/>
      <w:r>
        <w:rPr/>
        <w:t xml:space="preserve">2. Афанасьев С.П. Методика организации конкурсных программ / / Вестник КГПУ им. Н.А Некрасова, 1995. - № 1. –С. 57-61.</w:t>
      </w:r>
    </w:p>
    <w:p>
      <w:pPr/>
      <w:r>
        <w:rPr/>
        <w:t xml:space="preserve">3. Афанасьев С.П. Первый звонок: Что делать в школе 1 сентября: Методическое пособие. - Кострома: Эврика-М, 1999. - 112 с.</w:t>
      </w:r>
    </w:p>
    <w:p>
      <w:pPr/>
      <w:r>
        <w:rPr/>
        <w:t xml:space="preserve">4. Афанасьев С.П. Последний звонок: Как организовать праздник для выпускников: Методическое пособие. -Kocтpомa, 1995.</w:t>
      </w:r>
    </w:p>
    <w:p>
      <w:pPr/>
      <w:r>
        <w:rPr/>
        <w:t xml:space="preserve">5. Байбородова Л.В., Рожков M.И.. Воспитательный процесс в современной школе: Учебное пособие. Ярославль: ЯГПУ им. К.Д.Ушинского, 1997. 6. Бакланова Н.К. Профессиональное мастерство работника культуры. – М.: МГУК, 1994</w:t>
      </w:r>
    </w:p>
    <w:p>
      <w:pPr/>
      <w:r>
        <w:rPr/>
        <w:t xml:space="preserve">7. Безрукова В.С. Педагогика. Проективная педагогика: Учебное пособие для инженерно - педагогических институтов и индустриально – педагогических техникумов. - Екатеринбург: Деловая книга, 1996.</w:t>
      </w:r>
    </w:p>
    <w:p>
      <w:pPr/>
      <w:r>
        <w:rPr/>
        <w:t xml:space="preserve">8. Беловрыкина А. Волшебный мир домашнего театра. М.,1999.</w:t>
      </w:r>
    </w:p>
    <w:p>
      <w:pPr/>
      <w:r>
        <w:rPr/>
        <w:t xml:space="preserve">9. Бочарова Н.И., Тихонова О.Г. Организация досуга детей в семье. М.: Академия. 2001. 10.Васильева С.Ф. Роль семьи в процессе социализации ребёнка // Вестник МГУ. 1997, №3. С. 121-130.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1.Васильцова З.П. Мудрые мысли народной педагогики. М.,1984.</w:t>
      </w:r>
    </w:p>
    <w:p>
      <w:pPr/>
      <w:r>
        <w:rPr/>
        <w:t xml:space="preserve">2. Генкин Д.М., Конович А.А. Массовые театрализованные праздники и представления: Учебное пособие. – М.: ВНМЦ НТ и КПР, 1985.</w:t>
      </w:r>
    </w:p>
    <w:p>
      <w:pPr/>
      <w:r>
        <w:rPr/>
        <w:t xml:space="preserve">3.Громыко М.М. Мир русской деревни.- М.: Молодая гвардия, 1991.</w:t>
      </w:r>
    </w:p>
    <w:p>
      <w:pPr/>
      <w:r>
        <w:rPr/>
        <w:t xml:space="preserve">4.Дельпере Н. Защита прав и свобод граждан преклонного возраста М., 1993</w:t>
      </w:r>
    </w:p>
    <w:p>
      <w:pPr/>
      <w:r>
        <w:rPr/>
        <w:t xml:space="preserve">5.Душков Б.А. Психологические проблемы ритм в жизни и деятельности человека // Психологический журнал, 1980. - Т. 1. - № 2.</w:t>
      </w:r>
    </w:p>
    <w:p>
      <w:pPr/>
      <w:r>
        <w:rPr/>
        <w:t xml:space="preserve">6.Ерошенков И.Н. Основные направления культурно-воспитательной деятельности с детьми и подростками. М., 1997.</w:t>
      </w:r>
    </w:p>
    <w:p>
      <w:pPr/>
      <w:r>
        <w:rPr/>
        <w:t xml:space="preserve">7.Жарков А.Д. Технология культурно-досуговой деятельности: Учебное пособие для студентов вузов культуры и искусств.2-е изд. перераб. и доп. – М.: Изд-во МГУК, ИПО «Профиздат», 2002</w:t>
      </w:r>
    </w:p>
    <w:p>
      <w:pPr/>
      <w:r>
        <w:rPr/>
        <w:t xml:space="preserve">8.Жаркова Л.С., Жарков А.Д., Чижиков В.М. Культурно-досуговая деятельность: теория, практика и методика научных исследований: Учебное пособие. – М.: МГУК, 1984.</w:t>
      </w:r>
    </w:p>
    <w:p>
      <w:pPr/>
      <w:r>
        <w:rPr/>
        <w:t xml:space="preserve">9.Запесоцкий А., Файн А. Эта непонятная молодёжь. Проблемы неформальных молодёжных объединений. М., 1994.</w:t>
      </w:r>
    </w:p>
    <w:p>
      <w:pPr/>
      <w:r>
        <w:rPr/>
        <w:t xml:space="preserve">10.Иконникова С.Н. Молодёжь и культура М., 1989.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1) </w:t>
      </w:r>
      <w:hyperlink r:id="rId7" w:history="1">
        <w:r>
          <w:rPr/>
          <w:t xml:space="preserve">https://resh.edu.ru/ </w:t>
        </w:r>
      </w:hyperlink>
    </w:p>
    <w:p>
      <w:pPr/>
      <w:r>
        <w:rPr/>
        <w:t xml:space="preserve">Российская электронная школа предлагает каталог музеев, фильмотеку, музыку и концерты, театральные постановки, перечень открытых интернет-ресурсов, образовательных региональных и федеральных мероприятий.</w:t>
      </w:r>
    </w:p>
    <w:p>
      <w:pPr/>
      <w:r>
        <w:rPr/>
        <w:t xml:space="preserve">2) </w:t>
      </w:r>
      <w:hyperlink r:id="rId8" w:history="1">
        <w:r>
          <w:rPr/>
          <w:t xml:space="preserve">https://bolshayaperemena.online/</w:t>
        </w:r>
      </w:hyperlink>
    </w:p>
    <w:p>
      <w:pPr/>
      <w:r>
        <w:rPr/>
        <w:t xml:space="preserve">Большая перемена онлайн. Конкурсы для обучающихся 14-17 лет. А так же челленджи, конкурсы и активности независимо от возраста. Участие через соц. сеть ВКонтактеhttps://vk.com/bpcontest</w:t>
      </w:r>
    </w:p>
    <w:p>
      <w:pPr/>
      <w:r>
        <w:rPr/>
        <w:t xml:space="preserve">3) </w:t>
      </w:r>
      <w:hyperlink r:id="rId9" w:history="1">
        <w:r>
          <w:rPr/>
          <w:t xml:space="preserve">http://detionline.com/ </w:t>
        </w:r>
      </w:hyperlink>
    </w:p>
    <w:p>
      <w:pPr/>
      <w:r>
        <w:rPr/>
        <w:t xml:space="preserve">Дети России онлайн. Сайт по кибербезопасности для детей, родителей и педагогов. Для обучающихся возможно использование готовых видеороликов о безопасном поведении в интернете. https://рдш.рф Российское движение школьников. Участие в мероприятиях и конкурсах, всероссийских проектах. Участие школьников в проектах реализуется через соц.сетьВКонтакте.</w:t>
      </w:r>
    </w:p>
    <w:p>
      <w:pPr/>
      <w:r>
        <w:rPr/>
        <w:t xml:space="preserve">40 https://vk.com/skm_96 -</w:t>
      </w:r>
    </w:p>
    <w:p>
      <w:pPr/>
      <w:r>
        <w:rPr/>
        <w:t xml:space="preserve">РДШ в Свердловской области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BA14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8" Type="http://schemas.openxmlformats.org/officeDocument/2006/relationships/hyperlink" Target="https://bolshayaperemena.online/" TargetMode="External"/><Relationship Id="rId9" Type="http://schemas.openxmlformats.org/officeDocument/2006/relationships/hyperlink" Target="http://detionlin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2026-04-23T17:17:12+03:00</dcterms:created>
  <dcterms:modified xsi:type="dcterms:W3CDTF">2026-04-23T17:17:12+03:00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