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ind w:left="0" w:right="0" w:firstLine="0"/>
        <w:spacing w:before="0" w:after="0" w:line="240" w:lineRule="auto"/>
      </w:pPr>
      <w:r>
        <w:rPr>
          <w:sz w:val="24"/>
          <w:szCs w:val="24"/>
          <w:i/>
          <w:iCs/>
        </w:rPr>
        <w:t xml:space="preserve">Годы обучения по образовательной программе 1021-1023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Петрозаводский государственный университет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Институт филологии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Кафедра германской филологии и скандинавистики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УТВЕРЖДАЮ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Проректор по учебной работе</w:t>
      </w: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______________ К.Г. Тарасов</w:t>
      </w: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«____» ________ 1021 г.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  <w:b/>
          <w:bCs/>
        </w:rPr>
        <w:t xml:space="preserve">РАБОЧАЯ ПРОГРАММА ДИСЦИПЛИНЫ</w:t>
      </w: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  <w:b/>
          <w:bCs/>
        </w:rPr>
        <w:t xml:space="preserve">БАРЕНЦ-РЕГИОН В ИСТОРИИ СЕВЕРНОЙ ЕВРОПЫ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Направление подготовки магистратуры</w:t>
      </w: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45.04.01 Филология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Магистерская программа</w:t>
      </w: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«Нордистика:язык, история, культура»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Форма обучения очная</w:t>
      </w: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Петрозаводск</w:t>
      </w:r>
    </w:p>
    <w:p>
      <w:pPr>
        <w:jc w:val="center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1021</w:t>
      </w:r>
    </w:p>
    <w:p>
      <w:r>
        <w:br w:type="page"/>
      </w:r>
    </w:p>
    <w:p>
      <w:pPr>
        <w:jc w:val="both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12.08.2020, №980 и учебным планом по направлению подготовки магистратуры 45.04.01 Филология  (профиль «Нордистика:язык, история, культура»).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Разработчик(и):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/>
      </w:r>
    </w:p>
    <w:p>
      <w:pPr>
        <w:jc w:val="right"/>
        <w:ind w:left="0" w:right="0" w:firstLine="0"/>
        <w:spacing w:line="240" w:lineRule="auto"/>
      </w:pPr>
      <w:r>
        <w:rPr>
          <w:sz w:val="20"/>
          <w:szCs w:val="20"/>
          <w:i/>
          <w:iCs/>
        </w:rPr>
        <w:t xml:space="preserve">(подпись)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Эксперт(ы):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_______________________, _____________________________________________________</w:t>
      </w:r>
    </w:p>
    <w:p>
      <w:pPr>
        <w:spacing w:before="0" w:after="0" w:line="240" w:lineRule="auto"/>
      </w:pPr>
      <w:r>
        <w:rPr>
          <w:sz w:val="20"/>
          <w:szCs w:val="20"/>
          <w:i/>
          <w:iCs/>
        </w:rPr>
        <w:t xml:space="preserve">(ФИО полностью) 	 		 (должность, место работы, ученая степень, звание)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lowKashida"/>
        <w:spacing w:line="0" w:lineRule="auto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рассмотрена и одобрена на заседании кафедры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lowKashida"/>
        <w:spacing w:line="0" w:lineRule="auto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spacing w:before="0" w:after="0" w:line="240" w:lineRule="auto"/>
      </w:pPr>
      <w:r>
        <w:rPr>
          <w:sz w:val="20"/>
          <w:szCs w:val="20"/>
          <w:i/>
          <w:iCs/>
        </w:rPr>
        <w:t xml:space="preserve">			(наименование кафедры, разработавшей рабочую программу)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Протокол № _________ от «______» ___________ 201__ г.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lowKashida"/>
        <w:spacing w:line="240" w:lineRule="auto"/>
      </w:pPr>
      <w:r>
        <w:rPr>
          <w:sz w:val="24"/>
          <w:szCs w:val="24"/>
        </w:rPr>
        <w:t xml:space="preserve">Заведующий кафедрой _____________________________ (ФИО, ученая степень, звание)</w:t>
      </w:r>
    </w:p>
    <w:p>
      <w:pPr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СОГЛАСОВАНО: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рассмотрена и утверждена на заседании учебно-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методической комиссии института ______________________________________________</w:t>
      </w:r>
    </w:p>
    <w:p>
      <w:pPr>
        <w:spacing w:before="0" w:after="0" w:line="240" w:lineRule="auto"/>
      </w:pPr>
      <w:r>
        <w:rPr>
          <w:sz w:val="20"/>
          <w:szCs w:val="20"/>
          <w:i/>
          <w:iCs/>
        </w:rPr>
        <w:t xml:space="preserve">					     (название института, на котором преподается дисциплина)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 w:line="240" w:lineRule="auto"/>
      </w:pPr>
      <w:r>
        <w:rPr>
          <w:sz w:val="24"/>
          <w:szCs w:val="24"/>
        </w:rPr>
        <w:t xml:space="preserve">Протокол № _________ от «______» ___________ 201__ г.	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lowKashida"/>
        <w:spacing w:line="240" w:lineRule="auto"/>
      </w:pPr>
      <w:r>
        <w:rPr>
          <w:sz w:val="24"/>
          <w:szCs w:val="24"/>
        </w:rPr>
        <w:t xml:space="preserve">Директор института _________________________________ (ФИО, ученая степень, звание)</w:t>
      </w:r>
    </w:p>
    <w:p>
      <w:pPr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0" w:right="0" w:firstLine="0"/>
        <w:spacing w:line="240" w:lineRule="auto"/>
      </w:pPr>
      <w:r>
        <w:rPr>
          <w:sz w:val="24"/>
          <w:szCs w:val="24"/>
        </w:rPr>
        <w:t xml:space="preserve">Начальник методического отдела</w:t>
      </w:r>
    </w:p>
    <w:p>
      <w:pPr>
        <w:jc w:val="left"/>
        <w:ind w:left="0" w:right="0" w:firstLine="0"/>
        <w:spacing w:line="240" w:lineRule="auto"/>
      </w:pPr>
      <w:r>
        <w:rPr>
          <w:sz w:val="24"/>
          <w:szCs w:val="24"/>
        </w:rPr>
        <w:t xml:space="preserve">учебно-методического управления ПетрГУ _________________________ И.В. Маханькова</w:t>
      </w:r>
    </w:p>
    <w:p>
      <w:r>
        <w:br w:type="page"/>
      </w:r>
    </w:p>
    <w:p>
      <w:pPr>
        <w:sectPr>
          <w:pgSz w:orient="portrait" w:w="11905.511811023622" w:h="16837.79527559055"/>
          <w:pgMar w:top="1133.8582677165352" w:right="850.3937007874015" w:bottom="1440" w:left="1700.787401574803" w:header="720" w:footer="720" w:gutter="0"/>
          <w:cols w:num="1" w:space="720"/>
        </w:sectPr>
      </w:pP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магистратуры</w:t>
      </w:r>
    </w:p>
    <w:p>
      <w:pPr>
        <w:jc w:val="numTab"/>
        <w:ind w:left="0" w:right="0" w:firstLine="0"/>
        <w:spacing w:line="240" w:lineRule="auto"/>
      </w:pPr>
      <w:r>
        <w:rPr/>
        <w:t xml:space="preserve">Компетенции обучающегося, формируемые в результате освоения дисциплины:</w:t>
      </w:r>
    </w:p>
    <w:tbl>
      <w:tblGrid>
        <w:gridCol w:w="2500" w:type="dxa"/>
        <w:gridCol w:w="4000" w:type="dxa"/>
        <w:gridCol w:w="3100" w:type="dxa"/>
      </w:tblGrid>
      <w:tblPr>
        <w:jc w:val="start"/>
        <w:tblW w:w="0" w:type="auto"/>
        <w:tblLayout w:type="fixed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/>
        <w:tc>
          <w:tcPr>
            <w:tcW w:w="25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Код компетенции. Этап формирования компетенции</w:t>
            </w:r>
          </w:p>
        </w:tc>
        <w:tc>
          <w:tcPr>
            <w:tcW w:w="40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Формулировка компетенции</w:t>
            </w:r>
          </w:p>
        </w:tc>
        <w:tc>
          <w:tcPr>
            <w:tcW w:w="31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Планируемые результаты обучения</w:t>
            </w:r>
            <w:br/>
            <w:r>
              <w:rPr/>
              <w:t xml:space="preserve">(индикаторы достижения компетенции)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УК-1
</w:t>
            </w:r>
          </w:p>
        </w:tc>
        <w:tc>
          <w:tcPr>
            <w:tcW w:w="4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00" w:type="dxa"/>
          </w:tcPr>
          <w:p>
            <w:pPr/>
            <w:r>
              <w:rPr/>
              <w:t xml:space="preserve">УК-1.1.  Анализирует проблемную ситуацию как систему, выявляя ее составляющие и связи между ними.</w:t>
            </w:r>
          </w:p>
          <w:p/>
          <w:p>
            <w:pPr/>
            <w:r>
              <w:rPr/>
              <w:t xml:space="preserve">УК-1.2. Определяет пробелы в информации, необходимой для решения проблемной ситуации, и проектирует процессы по их устранению.</w:t>
            </w:r>
          </w:p>
          <w:p/>
          <w:p>
            <w:pPr/>
            <w:r>
              <w:rPr/>
              <w:t xml:space="preserve">УК-1.3. Критически оценивает надежность источников информации, работает с противоречивой информацией из разных источников.</w:t>
            </w:r>
          </w:p>
          <w:p/>
          <w:p>
            <w:pPr/>
            <w:r>
              <w:rPr/>
              <w:t xml:space="preserve">УК-1.4. Разрабатывает и содержательно аргументирует стратегию решения проблемной ситуации на основе системного и междисциплинарных подходов.</w:t>
            </w:r>
          </w:p>
          <w:p/>
          <w:p>
            <w:pPr/>
            <w:r>
              <w:rPr/>
              <w:t xml:space="preserve">УК-1.5.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УК-5
</w:t>
            </w:r>
          </w:p>
        </w:tc>
        <w:tc>
          <w:tcPr>
            <w:tcW w:w="4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100" w:type="dxa"/>
          </w:tcPr>
          <w:p>
            <w:pPr/>
            <w:r>
              <w:rPr/>
              <w:t xml:space="preserve">УК-5.1. Определение целей и задач межкультурного профессионального взаимодействия в условиях различных этнических, религиозных ценностных систем, выявление возможных проблемных ситуаций</w:t>
            </w:r>
          </w:p>
          <w:p/>
          <w:p>
            <w:pPr/>
            <w:r>
              <w:rPr/>
              <w:t xml:space="preserve">УК-5.2. Выбор способов интеграции работников, принадлежащих к разным культурам, в производственную команду</w:t>
            </w:r>
          </w:p>
          <w:p/>
          <w:p>
            <w:pPr/>
            <w:r>
              <w:rPr/>
              <w:t xml:space="preserve">УК-5.3. Выбор способа преодоления коммуникативных, образовательных, этнических, конфессиональных барьеров для межкультурного взаимодействия при решении профессиональных задач</w:t>
            </w:r>
          </w:p>
          <w:p/>
          <w:p>
            <w:pPr/>
            <w:r>
              <w:rPr/>
              <w:t xml:space="preserve">УК-5.4. Выбор способа поведения в поликультурном коллективе при конфликтной ситуации.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ПК-1
</w:t>
            </w:r>
          </w:p>
        </w:tc>
        <w:tc>
          <w:tcPr>
            <w:tcW w:w="4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самостоятельно проводить научные исследования в области истории, языка и культуры стран Северной Европы в сфере устной, письменной и виртуальной коммуникации</w:t>
            </w:r>
          </w:p>
        </w:tc>
        <w:tc>
          <w:tcPr>
            <w:tcW w:w="3100" w:type="dxa"/>
          </w:tcPr>
          <w:p>
            <w:pPr/>
            <w:r>
              <w:rPr/>
              <w:t xml:space="preserve">ПК-1.1. Владеет навыками квалифицированного анализа, оценки, реферирования, оформления и продвижения результатов собственной научной деятельности;</w:t>
            </w:r>
          </w:p>
          <w:p/>
          <w:p>
            <w:pPr/>
            <w:r>
              <w:rPr/>
              <w:t xml:space="preserve">ПК-1.2. Владеет навыками подготовки и редактирования научных публикаций;</w:t>
            </w:r>
          </w:p>
          <w:p/>
          <w:p>
            <w:pPr/>
            <w:r>
              <w:rPr/>
              <w:t xml:space="preserve">ПК-1.3. Способен участвовать в работе научных коллективов, проводящих филологические исследования.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ПК-3
</w:t>
            </w:r>
          </w:p>
        </w:tc>
        <w:tc>
          <w:tcPr>
            <w:tcW w:w="4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работать над содержанием публикаций СМИ, связанных с историей, языком и культурой стран Северной Европы</w:t>
            </w:r>
          </w:p>
        </w:tc>
        <w:tc>
          <w:tcPr>
            <w:tcW w:w="3100" w:type="dxa"/>
          </w:tcPr>
          <w:p>
            <w:pPr/>
            <w:r>
              <w:rPr/>
              <w:t xml:space="preserve">ПК-3.1. Определяет цель, задачи, актуальную проблематику публикации в процессе создания медийного текста;</w:t>
            </w:r>
          </w:p>
          <w:p/>
          <w:p>
            <w:pPr/>
            <w:r>
              <w:rPr/>
              <w:t xml:space="preserve">ПК-3.2. Создает тексты публикаций согласно требованиям масс-медиа с учетом взаимосвязи содержания и формы его выражения;</w:t>
            </w:r>
          </w:p>
          <w:p/>
          <w:p>
            <w:pPr/>
            <w:r>
              <w:rPr/>
              <w:t xml:space="preserve">ПК-3.3. Выбирает методы редактирования материалов и приводит материалы в соответствие с требованиями СМИ.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ПК-4
</w:t>
            </w:r>
          </w:p>
        </w:tc>
        <w:tc>
          <w:tcPr>
            <w:tcW w:w="4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осуществлять устную и письменную коммуникацию на основном изучаемом языке в сфере истории, языка и культуры стран Северной Европы</w:t>
            </w:r>
          </w:p>
        </w:tc>
        <w:tc>
          <w:tcPr>
            <w:tcW w:w="3100" w:type="dxa"/>
          </w:tcPr>
          <w:p>
            <w:pPr/>
            <w:r>
              <w:rPr/>
              <w:t xml:space="preserve">ПК-4.1. Создает и редактирует различные типы текстов на основном изучаемом языке сфере истории, языка и культуры стран Северной Европы;</w:t>
            </w:r>
          </w:p>
          <w:p/>
          <w:p>
            <w:pPr/>
            <w:r>
              <w:rPr/>
              <w:t xml:space="preserve">ПК-4.2. Владеет навыками публичного выступления на основном изучаемом языке сфере истории, языка и культуры стран Северной Европы;</w:t>
            </w:r>
          </w:p>
          <w:p/>
          <w:p>
            <w:pPr/>
            <w:r>
              <w:rPr/>
              <w:t xml:space="preserve">ПК-4.3. Способен вести дискуссию в сфере профессиональной и общекультурной деятельности на основном изучаемом языке сфере истории, языка и культуры стран Северной Европы.</w:t>
            </w:r>
          </w:p>
        </w:tc>
      </w:tr>
    </w:tbl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2. Место дисциплины в структуре ОПОП магистратуры и язык преподавания</w:t>
      </w:r>
    </w:p>
    <w:p>
      <w:pPr>
        <w:jc w:val="both"/>
        <w:ind w:left="0" w:right="0" w:firstLine="570"/>
        <w:spacing w:before="0" w:after="0" w:line="240" w:lineRule="auto"/>
      </w:pPr>
      <w:r>
        <w:rPr/>
        <w:t xml:space="preserve">Дисциплина Баренц-регион в истории Северной Европы входит в часть, формируемую участниками образовательных отношений учебного плана основной образовательной программы магистратуры по данному направлению подготовки и является обязательной для изучения дисциплиной.</w:t>
      </w:r>
    </w:p>
    <w:p>
      <w:pPr>
        <w:jc w:val="both"/>
        <w:ind w:left="0" w:right="0" w:firstLine="570"/>
        <w:spacing w:before="0" w:after="0" w:line="240" w:lineRule="auto"/>
      </w:pPr>
      <w:r>
        <w:rPr/>
        <w:t xml:space="preserve">Согласно учебному плану дисциплина проводится в 2 семестре.</w:t>
      </w:r>
    </w:p>
    <w:p>
      <w:pPr>
        <w:jc w:val="both"/>
        <w:ind w:left="0" w:right="0" w:firstLine="570"/>
        <w:spacing w:before="0" w:after="0" w:line="240" w:lineRule="auto"/>
      </w:pPr>
      <w:r>
        <w:rPr/>
        <w:t xml:space="preserve">Изучение дисциплины опирается на знания, умения и навыки, приобретенные при освоении образовательной программы предыдущего уровня , а также при изучении дисциплин: </w:t>
      </w:r>
    </w:p>
    <w:p>
      <w:pPr>
        <w:jc w:val="both"/>
        <w:ind w:left="0" w:right="0" w:firstLine="570"/>
        <w:spacing w:before="0" w:after="0" w:line="240" w:lineRule="auto"/>
      </w:pPr>
      <w:r>
        <w:rPr/>
        <w:t xml:space="preserve">Язык преподавания – русский</w:t>
      </w:r>
    </w:p>
    <w:p/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3. Виды учебной работы и тематическое содержание</w:t>
      </w:r>
    </w:p>
    <w:p>
      <w:pPr>
        <w:jc w:val="numTab"/>
        <w:ind w:left="0" w:right="0" w:firstLine="0"/>
        <w:spacing w:line="240" w:lineRule="auto"/>
      </w:pPr>
      <w:r>
        <w:rPr/>
        <w:t xml:space="preserve">Общая трудоемкость дисциплины составляет 3 зачетных единиц или 108 академических часов.</w:t>
      </w:r>
    </w:p>
    <w:p/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3.1 Виды учебной работы</w:t>
      </w:r>
    </w:p>
    <w:tbl>
      <w:tblGrid>
        <w:gridCol w:w="6000" w:type="dxa"/>
        <w:gridCol w:w="3000" w:type="dxa"/>
      </w:tblGrid>
      <w:tblPr>
        <w:jc w:val="start"/>
        <w:tblW w:w="0" w:type="auto"/>
        <w:tblLayout w:type="fixed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/>
        <w:tc>
          <w:tcPr>
            <w:tcW w:w="6000" w:type="dxa"/>
          </w:tcPr>
          <w:p>
            <w:pPr>
              <w:jc w:val="center"/>
              <w:ind w:left="0" w:right="0" w:firstLine="0"/>
            </w:pPr>
            <w:r>
              <w:rPr/>
              <w:t xml:space="preserve">Виды учебной работы</w:t>
            </w:r>
          </w:p>
        </w:tc>
        <w:tc>
          <w:tcPr>
            <w:tcW w:w="3000" w:type="dxa"/>
          </w:tcPr>
          <w:p>
            <w:pPr>
              <w:jc w:val="center"/>
              <w:ind w:left="0" w:right="0" w:firstLine="0"/>
            </w:pPr>
            <w:r>
              <w:rPr/>
              <w:t xml:space="preserve">Объем в академических часах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>
                <w:b/>
                <w:bCs/>
              </w:rPr>
              <w:t xml:space="preserve">Общая трудоемкость дисциплины по учебному плану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108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В том числе:</w:t>
            </w:r>
          </w:p>
        </w:tc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/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>
                <w:b/>
                <w:bCs/>
              </w:rPr>
              <w:t xml:space="preserve">Контактная работа (работа во взаимодействии с преподавателем). Всего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32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В том числе:</w:t>
            </w:r>
          </w:p>
        </w:tc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/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Лекции (Л)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32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Практические занятия (Пр)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-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Лабораторные занятия (Лаб)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-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Вид промежуточной аттестации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экзамен.</w:t>
            </w:r>
          </w:p>
        </w:tc>
      </w:tr>
      <w:tr>
        <w:trPr/>
        <w:tc>
          <w:tcPr/>
          <w:p>
            <w:pPr>
              <w:jc w:val="numTab"/>
              <w:ind w:left="0" w:right="0" w:firstLine="0"/>
              <w:spacing w:line="240" w:lineRule="auto"/>
            </w:pPr>
            <w:r>
              <w:rPr>
                <w:b/>
                <w:bCs/>
              </w:rPr>
              <w:t xml:space="preserve">Самостоятельная работа обучающихся (СР) (всего)</w:t>
            </w:r>
          </w:p>
        </w:tc>
        <w:tc>
          <w:tcPr/>
          <w:p>
            <w:pPr>
              <w:jc w:val="center"/>
              <w:ind w:left="0" w:right="0" w:firstLine="0"/>
            </w:pPr>
            <w:r>
              <w:rPr/>
              <w:t xml:space="preserve">76</w:t>
            </w:r>
          </w:p>
        </w:tc>
      </w:tr>
      <w:tr>
        <w:trPr/>
        <w:tc>
          <w:tcPr>
            <w:gridSpan w:val="2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В том числе:</w:t>
            </w:r>
          </w:p>
        </w:tc>
      </w:tr>
      <w:tr>
        <w:trPr/>
        <w:tc>
          <w:tcPr>
            <w:gridSpan w:val="2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Самостоятельное изучение разделов дисциплины, подготовка к занятиям</w:t>
            </w:r>
          </w:p>
        </w:tc>
      </w:tr>
      <w:tr>
        <w:trPr/>
        <w:tc>
          <w:tcPr>
            <w:gridSpan w:val="2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Подготовка к промежуточной аттестации</w:t>
            </w:r>
          </w:p>
        </w:tc>
      </w:tr>
    </w:tbl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3.2. Краткое содержание дисциплины по разделам и видам учебной работы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3.3. Содержание аудиторных занятий</w:t>
      </w:r>
    </w:p>
    <w:p>
      <w:pPr>
        <w:jc w:val="center"/>
        <w:ind w:left="0" w:right="0" w:hanging="0"/>
      </w:pPr>
      <w:r>
        <w:rPr/>
        <w:t xml:space="preserve">Содержание лекционных занятий</w:t>
      </w:r>
    </w:p>
    <w:p>
      <w:pPr>
        <w:jc w:val="center"/>
        <w:ind w:left="0" w:right="0" w:hanging="0"/>
      </w:pPr>
      <w:r>
        <w:rPr/>
        <w:t xml:space="preserve">Содержание практических (или семинарских) занятий</w:t>
      </w:r>
    </w:p>
    <w:p>
      <w:pPr>
        <w:jc w:val="center"/>
        <w:ind w:left="0" w:right="0" w:hanging="0"/>
      </w:pPr>
      <w:r>
        <w:rPr/>
        <w:t xml:space="preserve">Содержание лабораторных занятий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3.4. Организация самостоятельной работы обучающегося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4. Образовательные технологии по дисциплине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5. Оценочные средства для текущего контроля успеваемости, промежуточной аттестации обучающихся по дисциплине</w:t>
      </w:r>
    </w:p>
    <w:p>
      <w:pPr/>
      <w:r>
        <w:rPr/>
        <w:t xml:space="preserve">5.1. Текущий контроль осуществляется преподавателем дисциплины при проведении занятий в форме: </w:t>
      </w:r>
    </w:p>
    <w:p/>
    <w:p>
      <w:pPr/>
      <w:r>
        <w:rPr/>
        <w:t xml:space="preserve">Оценочные средства для текущего контроля.</w:t>
      </w:r>
    </w:p>
    <w:p/>
    <w:p>
      <w:pPr/>
      <w:r>
        <w:rPr/>
        <w:t xml:space="preserve">5.2. Промежуточная аттестация проводится в виде:</w:t>
      </w:r>
    </w:p>
    <w:p/>
    <w:p>
      <w:pPr/>
      <w:r>
        <w:rPr/>
        <w:t xml:space="preserve"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6. Методические рекомендации обучающимся по дисциплине, в том числе для самостоятельной работы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7. Методические рекомендации преподавателям по дисциплине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8. Учебно-методическое и информационное обеспечение дисциплины</w:t>
      </w:r>
    </w:p>
    <w:p>
      <w:pPr>
        <w:jc w:val="left"/>
        <w:ind w:left="0" w:right="0" w:hanging="0"/>
        <w:spacing w:before="280" w:after="280"/>
      </w:pPr>
      <w:r>
        <w:rPr/>
        <w:t xml:space="preserve">Библиографический список документов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8.1. Основная литература: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8.2. Дополнительная литература: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8.3. Программное обеспечение и Интернет-ресурсы: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8.4. Информационное обеспечение дисциплины в системе электронного (дистанционного) обучения</w:t>
      </w:r>
    </w:p>
    <w:p>
      <w:pPr>
        <w:jc w:val="both"/>
        <w:ind w:left="0" w:right="0" w:firstLine="570"/>
        <w:spacing w:before="240" w:after="240" w:line="240" w:lineRule="auto"/>
      </w:pPr>
      <w:r>
        <w:rPr>
          <w:b/>
          <w:bCs/>
        </w:rPr>
        <w:t xml:space="preserve">9. Материально-техническое обеспечение дисциплины</w:t>
      </w:r>
    </w:p>
    <w:p>
      <w:pPr>
        <w:jc w:val="both"/>
        <w:ind w:left="0" w:right="0" w:firstLine="570"/>
        <w:spacing w:before="0" w:after="0" w:line="240" w:lineRule="auto"/>
      </w:pPr>
      <w:r>
        <w:rPr/>
        <w:t xml:space="preserve">Материально-техническая база ПетрГУ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>
      <w:pPr>
        <w:jc w:val="both"/>
        <w:ind w:left="0" w:right="0" w:firstLine="570"/>
        <w:spacing w:before="0" w:after="0" w:line="240" w:lineRule="auto"/>
      </w:pPr>
      <w:r>
        <w:rPr/>
        <w:t xml:space="preserve">Минимально-необходимый перечень для информационно-технического и материально-технического обеспечения дисциплины:</w:t>
      </w:r>
    </w:p>
    <w:p>
      <w:pPr>
        <w:numPr>
          <w:ilvl w:val="0"/>
          <w:numId w:val="1"/>
        </w:numPr>
      </w:pPr>
      <w:r>
        <w:rPr/>
        <w:t xml:space="preserve">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>
      <w:pPr>
        <w:numPr>
          <w:ilvl w:val="0"/>
          <w:numId w:val="1"/>
        </w:numPr>
      </w:pPr>
      <w:r>
        <w:rPr/>
        <w:t xml:space="preserve">библиотека с читальным залом и залом для самостоятельной работы обучающегося, оснащенная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виде);</w:t>
      </w:r>
    </w:p>
    <w:p>
      <w:pPr>
        <w:jc w:val="left"/>
        <w:ind w:left="0" w:right="0" w:hanging="0"/>
        <w:spacing w:before="280" w:after="280"/>
      </w:pPr>
      <w:r>
        <w:rPr/>
        <w:t xml:space="preserve">Дата «_____» _________ 1021 г.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EAB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2024-04-24T23:57:39+03:00</dcterms:created>
  <dcterms:modified xsi:type="dcterms:W3CDTF">2024-04-24T23:57:39+03:00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