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СРАВНИТЕЛЬНОЕ 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Сравнительное правоведение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Правовые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Отдельные правовые семьи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Романо-германская правовая семья. Юридическая догматика как основание романо-германской правовой семьи.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основных правовых систем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Отдельные правовые семьи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Романо-германская правовая семья. Юридическая догматика как основание романо-германской правовой семьи.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темам раздела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Отдельные правовые семьи мира: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 и инновационных образовательных технологий. Традиционные образовательные технологии представлены  семинарскими (практическими) занятиями. Инновационные образовательные технологии используются в виде  применения активных и интерактивных форм проведения занятий: конференция.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конференция.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Конференция</w:t>
      </w:r>
    </w:p>
    <w:p>
      <w:pPr/>
      <w:r>
        <w:rPr/>
        <w:t xml:space="preserve">Конференция "Романо-германская правовая семья":</w:t>
      </w:r>
    </w:p>
    <w:p>
      <w:pPr>
        <w:numPr>
          <w:ilvl w:val="0"/>
          <w:numId w:val="1"/>
        </w:numPr>
      </w:pPr>
      <w:r>
        <w:rPr/>
        <w:t xml:space="preserve">Особенности романо-германской правовой семьи</w:t>
      </w:r>
    </w:p>
    <w:p>
      <w:pPr>
        <w:numPr>
          <w:ilvl w:val="0"/>
          <w:numId w:val="1"/>
        </w:numPr>
      </w:pPr>
      <w:r>
        <w:rPr/>
        <w:t xml:space="preserve">Формы права в романо-германской правовой семье</w:t>
      </w:r>
    </w:p>
    <w:p>
      <w:pPr>
        <w:numPr>
          <w:ilvl w:val="0"/>
          <w:numId w:val="1"/>
        </w:numPr>
      </w:pPr>
      <w:r>
        <w:rPr/>
        <w:t xml:space="preserve">Юридическая догматика как основание романо-германской правовой семьи</w:t>
      </w:r>
    </w:p>
    <w:p>
      <w:pPr>
        <w:numPr>
          <w:ilvl w:val="0"/>
          <w:numId w:val="1"/>
        </w:numPr>
      </w:pPr>
      <w:r>
        <w:rPr/>
        <w:t xml:space="preserve">Культурные основания становления романо-германской юридической догматики</w:t>
      </w:r>
    </w:p>
    <w:p>
      <w:pPr>
        <w:numPr>
          <w:ilvl w:val="0"/>
          <w:numId w:val="1"/>
        </w:numPr>
      </w:pPr>
      <w:r>
        <w:rPr/>
        <w:t xml:space="preserve">Кодификация в романо-германской правовой семье</w:t>
      </w:r>
    </w:p>
    <w:p>
      <w:pPr/>
      <w:r>
        <w:rPr/>
        <w:t xml:space="preserve">Конференция "Англосаксонская правовая семья":</w:t>
      </w:r>
    </w:p>
    <w:p>
      <w:pPr>
        <w:numPr>
          <w:ilvl w:val="0"/>
          <w:numId w:val="2"/>
        </w:numPr>
      </w:pPr>
      <w:r>
        <w:rPr/>
        <w:t xml:space="preserve">Особенности англо-саксонской правовой семьи</w:t>
      </w:r>
    </w:p>
    <w:p>
      <w:pPr>
        <w:numPr>
          <w:ilvl w:val="0"/>
          <w:numId w:val="2"/>
        </w:numPr>
      </w:pPr>
      <w:r>
        <w:rPr/>
        <w:t xml:space="preserve">Формы права в англо-саксонской правовой семье</w:t>
      </w:r>
    </w:p>
    <w:p>
      <w:pPr>
        <w:numPr>
          <w:ilvl w:val="0"/>
          <w:numId w:val="2"/>
        </w:numPr>
      </w:pPr>
      <w:r>
        <w:rPr/>
        <w:t xml:space="preserve">Значение прецедента</w:t>
      </w:r>
    </w:p>
    <w:p>
      <w:pPr>
        <w:numPr>
          <w:ilvl w:val="0"/>
          <w:numId w:val="2"/>
        </w:numPr>
      </w:pPr>
      <w:r>
        <w:rPr/>
        <w:t xml:space="preserve">Материальное и процессуальное право в англо-саксонской системе права</w:t>
      </w:r>
    </w:p>
    <w:p>
      <w:pPr>
        <w:numPr>
          <w:ilvl w:val="0"/>
          <w:numId w:val="2"/>
        </w:numPr>
      </w:pPr>
      <w:r>
        <w:rPr/>
        <w:t xml:space="preserve">Культурные основания становления англо-саксонской правовой семьи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правовых семей. Его соотношение с понятием правовая система.</w:t>
      </w:r>
    </w:p>
    <w:p>
      <w:pPr>
        <w:numPr>
          <w:ilvl w:val="0"/>
          <w:numId w:val="3"/>
        </w:numPr>
      </w:pPr>
      <w:r>
        <w:rPr/>
        <w:t xml:space="preserve">Критерии отнесения национальных правовых систем к правовым семьям.</w:t>
      </w:r>
    </w:p>
    <w:p>
      <w:pPr>
        <w:numPr>
          <w:ilvl w:val="0"/>
          <w:numId w:val="3"/>
        </w:numPr>
      </w:pPr>
      <w:r>
        <w:rPr/>
        <w:t xml:space="preserve">Классификация правовых семей современности.</w:t>
      </w:r>
    </w:p>
    <w:p>
      <w:pPr>
        <w:numPr>
          <w:ilvl w:val="0"/>
          <w:numId w:val="3"/>
        </w:numPr>
      </w:pPr>
      <w:r>
        <w:rPr/>
        <w:t xml:space="preserve">История возникновения романо – 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Источники права романо – 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Роль римского права в создании  романо – 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Влияние канонического права на формирование романо-германской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Роль закона в системе источников права романо – германской правовой семьи</w:t>
      </w:r>
    </w:p>
    <w:p>
      <w:pPr>
        <w:numPr>
          <w:ilvl w:val="0"/>
          <w:numId w:val="3"/>
        </w:numPr>
      </w:pPr>
      <w:r>
        <w:rPr/>
        <w:t xml:space="preserve">Структура права романо – 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Правовая доктрина романо – германской правовой семьи.</w:t>
      </w:r>
    </w:p>
    <w:p>
      <w:pPr>
        <w:numPr>
          <w:ilvl w:val="0"/>
          <w:numId w:val="3"/>
        </w:numPr>
      </w:pPr>
      <w:r>
        <w:rPr/>
        <w:t xml:space="preserve">Особенности правопонимания в романской и германской ветвях семьи континентального (романо-германского права).</w:t>
      </w:r>
    </w:p>
    <w:p>
      <w:pPr>
        <w:numPr>
          <w:ilvl w:val="0"/>
          <w:numId w:val="3"/>
        </w:numPr>
      </w:pPr>
      <w:r>
        <w:rPr/>
        <w:t xml:space="preserve">Понятие нормы права в романо-германской правовой семье.</w:t>
      </w:r>
    </w:p>
    <w:p>
      <w:pPr>
        <w:numPr>
          <w:ilvl w:val="0"/>
          <w:numId w:val="3"/>
        </w:numPr>
      </w:pPr>
      <w:r>
        <w:rPr/>
        <w:t xml:space="preserve">История создания общего (англо – саксонского) права.</w:t>
      </w:r>
    </w:p>
    <w:p>
      <w:pPr>
        <w:numPr>
          <w:ilvl w:val="0"/>
          <w:numId w:val="3"/>
        </w:numPr>
      </w:pPr>
      <w:r>
        <w:rPr/>
        <w:t xml:space="preserve"> Судебная система Великобритании. </w:t>
      </w:r>
    </w:p>
    <w:p>
      <w:pPr>
        <w:numPr>
          <w:ilvl w:val="0"/>
          <w:numId w:val="3"/>
        </w:numPr>
      </w:pPr>
      <w:r>
        <w:rPr/>
        <w:t xml:space="preserve">Структура общего (англо-саксонского) права.</w:t>
      </w:r>
    </w:p>
    <w:p>
      <w:pPr>
        <w:numPr>
          <w:ilvl w:val="0"/>
          <w:numId w:val="3"/>
        </w:numPr>
      </w:pPr>
      <w:r>
        <w:rPr/>
        <w:t xml:space="preserve">Источники общего (англо-саксонского) права.</w:t>
      </w:r>
    </w:p>
    <w:p>
      <w:pPr>
        <w:numPr>
          <w:ilvl w:val="0"/>
          <w:numId w:val="3"/>
        </w:numPr>
      </w:pPr>
      <w:r>
        <w:rPr/>
        <w:t xml:space="preserve">Понятие и роль правового прецедента в Великобритании.</w:t>
      </w:r>
    </w:p>
    <w:p>
      <w:pPr>
        <w:numPr>
          <w:ilvl w:val="0"/>
          <w:numId w:val="3"/>
        </w:numPr>
      </w:pPr>
      <w:r>
        <w:rPr/>
        <w:t xml:space="preserve">Роль закона в Великобритании.</w:t>
      </w:r>
    </w:p>
    <w:p>
      <w:pPr>
        <w:numPr>
          <w:ilvl w:val="0"/>
          <w:numId w:val="3"/>
        </w:numPr>
      </w:pPr>
      <w:r>
        <w:rPr/>
        <w:t xml:space="preserve">Роль обычая в Великобритании.</w:t>
      </w:r>
    </w:p>
    <w:p>
      <w:pPr>
        <w:numPr>
          <w:ilvl w:val="0"/>
          <w:numId w:val="3"/>
        </w:numPr>
      </w:pPr>
      <w:r>
        <w:rPr/>
        <w:t xml:space="preserve">Правовая доктрина семьи общего (англосаксонского) права.</w:t>
      </w:r>
    </w:p>
    <w:p>
      <w:pPr>
        <w:numPr>
          <w:ilvl w:val="0"/>
          <w:numId w:val="3"/>
        </w:numPr>
      </w:pPr>
      <w:r>
        <w:rPr/>
        <w:t xml:space="preserve">Понятие нормы права в Великобритании.</w:t>
      </w:r>
    </w:p>
    <w:p>
      <w:pPr>
        <w:numPr>
          <w:ilvl w:val="0"/>
          <w:numId w:val="3"/>
        </w:numPr>
      </w:pPr>
      <w:r>
        <w:rPr/>
        <w:t xml:space="preserve">Особенности правовой системы США.</w:t>
      </w:r>
    </w:p>
    <w:p>
      <w:pPr>
        <w:numPr>
          <w:ilvl w:val="0"/>
          <w:numId w:val="3"/>
        </w:numPr>
      </w:pPr>
      <w:r>
        <w:rPr/>
        <w:t xml:space="preserve">Источники права США.</w:t>
      </w:r>
    </w:p>
    <w:p>
      <w:pPr>
        <w:numPr>
          <w:ilvl w:val="0"/>
          <w:numId w:val="3"/>
        </w:numPr>
      </w:pPr>
      <w:r>
        <w:rPr/>
        <w:t xml:space="preserve"> Особенности правопонимания в отдельных мусульманских государствах.</w:t>
      </w:r>
    </w:p>
    <w:p>
      <w:pPr>
        <w:numPr>
          <w:ilvl w:val="0"/>
          <w:numId w:val="3"/>
        </w:numPr>
      </w:pPr>
      <w:r>
        <w:rPr/>
        <w:t xml:space="preserve">Конфуцианство как основа правовой доктрины Китая.</w:t>
      </w:r>
    </w:p>
    <w:p>
      <w:pPr>
        <w:numPr>
          <w:ilvl w:val="0"/>
          <w:numId w:val="3"/>
        </w:numPr>
      </w:pPr>
      <w:r>
        <w:rPr/>
        <w:t xml:space="preserve">Особенности правовой системы Индии</w:t>
      </w:r>
    </w:p>
    <w:p>
      <w:pPr>
        <w:numPr>
          <w:ilvl w:val="0"/>
          <w:numId w:val="3"/>
        </w:numPr>
      </w:pPr>
      <w:r>
        <w:rPr/>
        <w:t xml:space="preserve"> Особенности правовых систем африканских государств.</w:t>
      </w:r>
    </w:p>
    <w:p>
      <w:pPr>
        <w:numPr>
          <w:ilvl w:val="0"/>
          <w:numId w:val="3"/>
        </w:numPr>
      </w:pPr>
      <w:r>
        <w:rPr/>
        <w:t xml:space="preserve"> Источники права славянской правовой семьи.</w:t>
      </w:r>
    </w:p>
    <w:p>
      <w:pPr>
        <w:numPr>
          <w:ilvl w:val="0"/>
          <w:numId w:val="3"/>
        </w:numPr>
      </w:pPr>
      <w:r>
        <w:rPr/>
        <w:t xml:space="preserve"> Правовая доктрина славянской правовой семьи.</w:t>
      </w:r>
    </w:p>
    <w:p>
      <w:pPr/>
      <w:r>
        <w:rPr/>
        <w:t xml:space="preserve">  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7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7"/>
        </w:numPr>
      </w:pPr>
      <w:r>
        <w:rPr/>
        <w:t xml:space="preserve">участие в дискуссиях;</w:t>
      </w:r>
    </w:p>
    <w:p>
      <w:pPr>
        <w:numPr>
          <w:ilvl w:val="0"/>
          <w:numId w:val="7"/>
        </w:numPr>
      </w:pPr>
      <w:r>
        <w:rPr/>
        <w:t xml:space="preserve">выполнение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По отдельным темам курса проводятся внутрикурсовые конференции.</w:t>
      </w:r>
    </w:p>
    <w:p>
      <w:pPr/>
      <w:r>
        <w:rPr/>
        <w:t xml:space="preserve">Теоретическая конференция</w:t>
      </w:r>
      <w:r>
        <w:rPr/>
        <w:t xml:space="preserve"> является формой, весьма близкой к практическим занятиям, на которых обсуждаются доклады и рефераты. Отличие ее заключается, с одной стороны, в более длительной и тщательной подготовке, а с другой стороны в том, что она проводится нередко не с одной группой, а с несколькими или с целым потоком, даже курсом. Тема конференции берется не обязательно из общего плана семинара. Чаще она ставится как итоговая после изучения объемной темы или же после всего курса.</w:t>
      </w:r>
      <w:br/>
      <w:br/>
      <w:r>
        <w:rPr/>
        <w:t xml:space="preserve">Теоретические конференции, групповые и курсовые, рекомендуется проводить один-два раза за время изучения учебной дисциплины, используя время, отведенное на семинарские занятия.</w:t>
      </w:r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1. Михайлов, А. М. </w:t>
      </w:r>
      <w:r>
        <w:rPr/>
        <w:t xml:space="preserve"> Сравнительное правоведение: догма романо-германского права : учебное пособие для бакалавриата и магистратуры / А. М. Михайлов. — 2-е изд. — Москва : Издательство Юрайт, 2019. — 465 с. — (Авторский учебник). — ISBN 978-5-534-08933-2. — Текст : электронный // ЭБС Юрайт [сайт]. — URL: </w:t>
      </w:r>
      <w:hyperlink r:id="rId7" w:history="1">
        <w:r>
          <w:rPr/>
          <w:t xml:space="preserve">https://biblio-online.ru/bcode/426756</w:t>
        </w:r>
      </w:hyperlink>
      <w:r>
        <w:rPr/>
        <w:t xml:space="preserve"> .</w:t>
      </w:r>
    </w:p>
    <w:p>
      <w:pPr/>
      <w:r>
        <w:rPr>
          <w:i w:val="1"/>
          <w:iCs w:val="1"/>
        </w:rPr>
        <w:t xml:space="preserve">2. Михайлов, А. М. </w:t>
      </w:r>
      <w:r>
        <w:rPr/>
        <w:t xml:space="preserve"> Сравнительное правоведение: судебная власть в правовой системе Англии : учебное пособие для бакалавриата и магистратуры / А. М. Михайлов. — 2-е изд. — Москва : Издательство Юрайт, 2019. — 355 с. — (Авторский учебник). — ISBN 978-5-534-08913-4. — Текст : электронный // ЭБС Юрайт [сайт]. — URL: </w:t>
      </w:r>
      <w:hyperlink r:id="rId8" w:history="1">
        <w:r>
          <w:rPr/>
          <w:t xml:space="preserve">https://biblio-online.ru/bcode/426693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 европейского союза : учебник и практикум для бакалавриата и магистратуры / А. Х. Абашидзе [и др.] ; под редакцией А. Х. Абашидзе, А. О. Иншаковой. — Москва : Издательство Юрайт, 2018. — 482 с. — (Бакалавр и магистр. Академический курс). — ISBN 978-5-534-03371-7. — Текст : электронный // ЭБС Юрайт [сайт]. — URL: </w:t>
      </w:r>
      <w:hyperlink r:id="rId9" w:history="1">
        <w:r>
          <w:rPr/>
          <w:t xml:space="preserve">https://biblio-online.ru/bcode/413776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2. Абашидзе, А. Х. </w:t>
      </w:r>
      <w:r>
        <w:rPr/>
        <w:t xml:space="preserve"> Европейская система защиты прав человека : учебное пособие для бакалавриата и магистратуры / А. Х. Абашидзе, Е. С. Алисиевич ; под редакцией А. Х. Абашидзе. — Москва : Издательство Юрайт, 2019. — 140 с. — (Бакалавр и магистр. Модуль). — ISBN 978-5-534-08235-7. — Текст : электронный // ЭБС Юрайт [сайт]. — URL: </w:t>
      </w:r>
      <w:hyperlink r:id="rId10" w:history="1">
        <w:r>
          <w:rPr/>
          <w:t xml:space="preserve">https://biblio-online.ru/bcode/437784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7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FD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D9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25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3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D7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1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05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26756" TargetMode="External"/><Relationship Id="rId8" Type="http://schemas.openxmlformats.org/officeDocument/2006/relationships/hyperlink" Target="https://biblio-online.ru/bcode/426693" TargetMode="External"/><Relationship Id="rId9" Type="http://schemas.openxmlformats.org/officeDocument/2006/relationships/hyperlink" Target="https://biblio-online.ru/bcode/413776" TargetMode="External"/><Relationship Id="rId10" Type="http://schemas.openxmlformats.org/officeDocument/2006/relationships/hyperlink" Target="https://biblio-online.ru/bcode/437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2026-04-23T21:01:13+03:00</dcterms:created>
  <dcterms:modified xsi:type="dcterms:W3CDTF">2026-04-23T21:01:13+03:00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