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ПРОБЛЕМНЫЕ ВОПРОСЫ РАССЛЕДОВАНИЯ ОТДЕЛЬНЫХ ВИДОВ ПРЕСТУПЛЕНИЙ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оптимальные управленческие решения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особенности функционала участников правоотношений в различных сферах юридической деятельности, их правовой статус, включающий права, обязанности и ответственность;</w:t>
            </w:r>
          </w:p>
          <w:p/>
          <w:p>
            <w:pPr/>
            <w:r>
              <w:rPr/>
              <w:t xml:space="preserve">ПК-5.2. Умеет правильно реализовывать полномочия правоотношений в различных сферах юридической деятельности, в том числе при принятии управленческих решений в связи с реализацией норм права;</w:t>
            </w:r>
          </w:p>
          <w:p/>
          <w:p>
            <w:pPr/>
            <w:r>
              <w:rPr/>
              <w:t xml:space="preserve">ПК-5.3. Владеет навыками принимать оптимальные управленческие решения.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Проблемные вопросы расследования отдельных видов преступлений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4BAE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2026-04-22T17:25:05+03:00</dcterms:created>
  <dcterms:modified xsi:type="dcterms:W3CDTF">2026-04-22T17:25:05+03:00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