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РЕГУЛИРОВАНИЕ ДЕЯТЕЛЬНОСТИ ЮРИДИЧЕСКОГО ЛИЦА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Регулирование деятельности юридического лица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деятельности юридического лица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 ГК РФ и иных НПА о юридических лицах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 ГК РФ и иных НПА о юридических лицах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Задача 1.</w:t>
      </w:r>
    </w:p>
    <w:p>
      <w:pPr/>
      <w:r>
        <w:rPr/>
        <w:t xml:space="preserve">Акционерное общество обратилось в арбитражный суд с иском о признании недействительным договора купли-продажи, заключенного между предпринимателем и обществом с ограниченной ответственностью. В обоснование своих требований истец указал, что он продал строение предпринимателю, который, не уплатив его стоимости и не зарегистрировав перехода права собственности, перепродал строение обществу с ограниченной ответственностью. Получив плату за строение, предприниматель скрылся. Арбитражный суд в иске акционерному обществу отказал.</w:t>
      </w:r>
    </w:p>
    <w:p>
      <w:pPr/>
      <w:r>
        <w:rPr>
          <w:i w:val="1"/>
          <w:iCs w:val="1"/>
        </w:rPr>
        <w:t xml:space="preserve">Правильно ли решение суда? Смотреть решение.</w:t>
      </w:r>
    </w:p>
    <w:p>
      <w:pPr/>
      <w:r>
        <w:rPr>
          <w:b w:val="1"/>
          <w:bCs w:val="1"/>
        </w:rPr>
        <w:t xml:space="preserve">Задача 2.</w:t>
      </w:r>
    </w:p>
    <w:p>
      <w:pPr/>
      <w:r>
        <w:rPr/>
        <w:t xml:space="preserve">Благотворительный фонд «Неизвестные имена» и общественное учреждение «Возрождение» заключили договор дарения, в соответствии с которым благотворительный фонд брал на себя обязанность приобрести на Лондонском аукционе коллекцию картин художников XIX в. и безвозмездно передать их «Возрождению». Однако до срока исполнения договора «Возрождение» приняло решение о реорганизации и присоединилось к общественной организации «Кулибин». Учитывая данное обстоятельство, благотворительный фонд отказался выполнять по договору дарения свои обязательства, мотивируя свое решение внесением в единый государственный реестр юридических лиц записи о прекращении деятельности «Возрождения».</w:t>
      </w:r>
    </w:p>
    <w:p>
      <w:pPr/>
      <w:r>
        <w:rPr/>
        <w:t xml:space="preserve">Считая свои интересы неправомерно нарушенными, общественная организация «Кулибин» обратилась в арбитражный суд с иском. В обоснование своих требований истец сослался на имеющееся прямое указание в передаточном акте об универсальном правопреемстве, в частности и по вышеуказанному договору дарения.</w:t>
      </w:r>
    </w:p>
    <w:p>
      <w:pPr/>
      <w:r>
        <w:rPr>
          <w:i w:val="1"/>
          <w:iCs w:val="1"/>
        </w:rPr>
        <w:t xml:space="preserve">Какое решение должен принять суд?</w:t>
      </w:r>
    </w:p>
    <w:p>
      <w:pPr/>
      <w:r>
        <w:rPr>
          <w:b w:val="1"/>
          <w:bCs w:val="1"/>
        </w:rPr>
        <w:t xml:space="preserve">Задача 3.</w:t>
      </w:r>
    </w:p>
    <w:p>
      <w:pPr/>
      <w:r>
        <w:rPr/>
        <w:t xml:space="preserve">Общество с ограниченной ответственностью заключило договор с леспромхозом о поставке пиломатериалов. В соответствии с заключенным договором Общество перечислило леспромхозу полную стоимость пиломатериалов. Однако в установленный срок пиломатериалы поставлены не были. В связи с этим Общество предъявило иск к леспромхозу о возврате перечисленной ранее суммы денежных средств, уплате процентов за пользование чужими денежными средствами и возмещении убытков, понесённых Обществом в результате уплаты своим контрагентом неустойки за непоставку столярных изделий, которые Общество должно было изготовить из неполученных пиломатериалов.</w:t>
      </w:r>
    </w:p>
    <w:p>
      <w:pPr/>
      <w:r>
        <w:rPr>
          <w:i w:val="1"/>
          <w:iCs w:val="1"/>
        </w:rPr>
        <w:t xml:space="preserve">Подлежат ли удовлетворению требования Общества к леспромхозу? </w:t>
      </w:r>
    </w:p>
    <w:p>
      <w:pPr/>
      <w:r>
        <w:rPr>
          <w:i w:val="1"/>
          <w:iCs w:val="1"/>
        </w:rPr>
        <w:t xml:space="preserve">Изменится ли решение, если будет установлено, что заготовленные для поставки Обществу пиломатериалы были уничтожены наводнением?</w:t>
      </w:r>
    </w:p>
    <w:p>
      <w:pPr/>
      <w:r>
        <w:rPr>
          <w:b w:val="1"/>
          <w:bCs w:val="1"/>
        </w:rPr>
        <w:t xml:space="preserve">Задача 4.</w:t>
      </w:r>
    </w:p>
    <w:p>
      <w:pPr/>
      <w:r>
        <w:rPr/>
        <w:t xml:space="preserve">Завод тяжелого машиностроения поставил трансформаторному заводу два мостовых крана (оба без траверсы и сцепного устройства). Покупатель потребовал доукомплектовать краны, но поставщик по техническим причинам, а также в связи с распоряжением начальника Западно-Сибирской железной дороги об ограничении провоза тяжелых грузов по железным дорогам северного направления отгрузил недостающие части только после истечения срока поставки. До их прибытия покупатель не мог использовать краны, и у него образовались убытки от простоя ряда производственных агрегатов.</w:t>
      </w:r>
    </w:p>
    <w:p>
      <w:pPr/>
      <w:r>
        <w:rPr>
          <w:i w:val="1"/>
          <w:iCs w:val="1"/>
        </w:rPr>
        <w:t xml:space="preserve">Какие претензии может предъявить покупатель, и подлежат ли они удовлетворению?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Структуры, порядок управления юридического лица с учетом специфики видов его деятельности.</w:t>
      </w:r>
    </w:p>
    <w:p>
      <w:pPr>
        <w:numPr>
          <w:ilvl w:val="0"/>
          <w:numId w:val="2"/>
        </w:numPr>
      </w:pPr>
      <w:r>
        <w:rPr/>
        <w:t xml:space="preserve">Процедура регистрации юридического лица;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регулирующих деятельность юридического лица;</w:t>
      </w:r>
    </w:p>
    <w:p>
      <w:pPr>
        <w:numPr>
          <w:ilvl w:val="0"/>
          <w:numId w:val="2"/>
        </w:numPr>
      </w:pPr>
      <w:r>
        <w:rPr/>
        <w:t xml:space="preserve">Законодательство, регулирующего трудовые отношения в организации;</w:t>
      </w:r>
    </w:p>
    <w:p>
      <w:pPr>
        <w:numPr>
          <w:ilvl w:val="0"/>
          <w:numId w:val="2"/>
        </w:numPr>
      </w:pPr>
      <w:r>
        <w:rPr/>
        <w:t xml:space="preserve">Законодательство РФ, регулирующим деятельность АО.</w:t>
      </w:r>
    </w:p>
    <w:p>
      <w:pPr>
        <w:numPr>
          <w:ilvl w:val="0"/>
          <w:numId w:val="2"/>
        </w:numPr>
      </w:pPr>
      <w:r>
        <w:rPr/>
        <w:t xml:space="preserve">Учредительный документ - устав.</w:t>
      </w:r>
    </w:p>
    <w:p>
      <w:pPr>
        <w:numPr>
          <w:ilvl w:val="0"/>
          <w:numId w:val="2"/>
        </w:numPr>
      </w:pPr>
      <w:r>
        <w:rPr/>
        <w:t xml:space="preserve">Штатное расписание организации.</w:t>
      </w:r>
    </w:p>
    <w:p>
      <w:pPr>
        <w:numPr>
          <w:ilvl w:val="0"/>
          <w:numId w:val="2"/>
        </w:numPr>
      </w:pPr>
      <w:r>
        <w:rPr/>
        <w:t xml:space="preserve">Структура организации.</w:t>
      </w:r>
    </w:p>
    <w:p>
      <w:pPr>
        <w:numPr>
          <w:ilvl w:val="0"/>
          <w:numId w:val="2"/>
        </w:numPr>
      </w:pPr>
      <w:r>
        <w:rPr/>
        <w:t xml:space="preserve">Организация и содержание работы персонала общества.</w:t>
      </w:r>
    </w:p>
    <w:p>
      <w:pPr>
        <w:numPr>
          <w:ilvl w:val="0"/>
          <w:numId w:val="2"/>
        </w:numPr>
      </w:pPr>
      <w:r>
        <w:rPr/>
        <w:t xml:space="preserve">Содержание экономической, организационной, управленческой работы организации.</w:t>
      </w:r>
    </w:p>
    <w:p>
      <w:pPr>
        <w:numPr>
          <w:ilvl w:val="0"/>
          <w:numId w:val="2"/>
        </w:numPr>
      </w:pPr>
      <w:r>
        <w:rPr/>
        <w:t xml:space="preserve">Виды гражданско-правовых договоров, заключаемых от имени общества и их специфика.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После выбора наиболее оптимальной организационной модели будущего юридического лица решаются такие вопросы, как выбор названия организации, подбор адреса места нахождения, подготовка учредительных документов и совершение иных действий, предусмотренных законодательством при создании юридических лиц данной организационно-правовой формы.</w:t>
      </w:r>
    </w:p>
    <w:p>
      <w:pPr/>
      <w:r>
        <w:rPr/>
        <w:t xml:space="preserve">Говоря о выборе организационно-правовой формы юридического лица, прежде всего следует отметить, что в законодательстве Российской Федерации отсутствует определение данного понятия, одновременно с этим выбор организационно-правовой формы характеризует содержание правосубъектности юридического лица - именно ею определяются как права и обязанности самой организации, так и объем прав и обязанностей участников, также порядок управления юридическим лицом и ряд иных вопросов. Для этого рассмотрим основные отличительные особенности юридических лиц различных организационно правовых форм на примере общества с ограниченной ответственностью, полного товарищества и автономной не коммерческой организации.</w:t>
      </w:r>
    </w:p>
    <w:p>
      <w:pPr/>
      <w:r>
        <w:rPr/>
        <w:t xml:space="preserve">Гражданским законодательством произведена классификация юридических лиц на коммерческие и некоммерческие в зависимости от основной цели деятельности - направлена ли она на извлечение прибыли (для коммерческих) или же нет (некоммерческие). Так, некоммерческие организации могут осуществлять предпринимательскую деятельность (т. е. быть субъектом отношений, складывающихся в сфере предпринимательства) лишь в том случае, когда это служит и соответствует целям их создания. Следовательно, данное разграничение характеризует объем и содержание правоспособности юридического лица. В связи с участием в образовании имущества юридического лица его учредители могут иметь обязательственные права в отношении этого юридического лица, право собственности или иное вещное право (государственные и муниципальные унитарные предприятия, финансируемые собственником учреждения и не иметь имущественных прав.</w:t>
      </w:r>
    </w:p>
    <w:p>
      <w:pPr/>
      <w:r>
        <w:rPr/>
        <w:t xml:space="preserve">Существуют следующие основания различия юридических лиц в зависимости от организационно-правовой формы:</w:t>
      </w:r>
    </w:p>
    <w:p>
      <w:pPr>
        <w:numPr>
          <w:ilvl w:val="0"/>
          <w:numId w:val="3"/>
        </w:numPr>
      </w:pPr>
      <w:r>
        <w:rPr/>
        <w:t xml:space="preserve">объем и содержание правоспособности;</w:t>
      </w:r>
    </w:p>
    <w:p>
      <w:pPr>
        <w:numPr>
          <w:ilvl w:val="0"/>
          <w:numId w:val="3"/>
        </w:numPr>
      </w:pPr>
      <w:r>
        <w:rPr/>
        <w:t xml:space="preserve">объем и содержание прав и обязанностей участников юридического лица;</w:t>
      </w:r>
    </w:p>
    <w:p>
      <w:pPr>
        <w:numPr>
          <w:ilvl w:val="0"/>
          <w:numId w:val="3"/>
        </w:numPr>
      </w:pPr>
      <w:r>
        <w:rPr/>
        <w:t xml:space="preserve">ответственность участников юридического лица по его обязательствам;</w:t>
      </w:r>
    </w:p>
    <w:p>
      <w:pPr>
        <w:numPr>
          <w:ilvl w:val="0"/>
          <w:numId w:val="3"/>
        </w:numPr>
      </w:pPr>
      <w:r>
        <w:rPr/>
        <w:t xml:space="preserve">организация и порядок управления юридическим лицом.</w:t>
      </w:r>
    </w:p>
    <w:p>
      <w:pPr/>
      <w:r>
        <w:rPr/>
        <w:t xml:space="preserve">Под юридическим лицом понимается организация, имеющая в собственности, хозяйственном ведении или оперативном управлении обособленное имущество, отвечающее по своим обязательствам этим имуществом, способное от своего имени приобретать и осуществлять имущественные и личные не имущественные права, нести обязанности, быть истцом и ответчиком в суде.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Юридические лица в настоящий момент являются главными участниками гражданского оборота: именно они производят большую часть товаров и услуг, являются основными налогоплательщиками. По этой причине, в условиях развития рынка в нашей стране и все возрастающего желания субъектов гражданских правоотношений обезопасить себя и свои материальные средства правовыми способами, наибольшую актуальность приобретают вопросы регулирования создания, реорганизации и ликвидации юридических лиц.</w:t>
      </w:r>
    </w:p>
    <w:p>
      <w:pPr/>
      <w:r>
        <w:rPr/>
        <w:t xml:space="preserve">Одним из факторов, определяющих порядок правового регулирования отношений по созданию юридических лиц, является недопущение признания юридическим лицом и наделения гражданской правосубъектностью организаций, которые по тем или иным признакам не соответствуют предъявляемым к юридическому лицу требованиям, для того чтобы не создавать искусственных затруднений для функционирования экономики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hyperlink r:id="rId7" w:history="1">
        <w:r>
          <w:rPr/>
          <w:t xml:space="preserve">Гражданское право: учебник. В 2 т. Т. 1</w:t>
        </w:r>
      </w:hyperlink>
    </w:p>
    <w:p>
      <w:pPr>
        <w:jc w:val="start"/>
      </w:pPr>
      <w:r>
        <w:rPr/>
        <w:t xml:space="preserve">Под редакцией: Гонгало Б. М.</w:t>
      </w:r>
    </w:p>
    <w:p>
      <w:pPr>
        <w:jc w:val="start"/>
      </w:pPr>
      <w:r>
        <w:rPr/>
        <w:t xml:space="preserve">Издательство: Статут, 2018</w:t>
      </w:r>
    </w:p>
    <w:p>
      <w:pPr>
        <w:jc w:val="start"/>
      </w:pPr>
      <w:r>
        <w:rPr/>
        <w:t xml:space="preserve">https://www.biblio-online.ru/book/grazhdanskoe-pravo-rossii-osobennaya-chast-v-2-t-tom-1-434192</w:t>
      </w:r>
    </w:p>
    <w:p>
      <w:pPr>
        <w:jc w:val="start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hyperlink r:id="rId8" w:history="1">
        <w:r>
          <w:rPr/>
          <w:t xml:space="preserve">Исполнительное производство: учебник</w:t>
        </w:r>
      </w:hyperlink>
    </w:p>
    <w:p>
      <w:pPr>
        <w:jc w:val="start"/>
      </w:pPr>
      <w:r>
        <w:rPr/>
        <w:t xml:space="preserve">Гуреев В. А., Гущин В. В.</w:t>
      </w:r>
    </w:p>
    <w:p>
      <w:pPr>
        <w:jc w:val="start"/>
      </w:pPr>
      <w:r>
        <w:rPr/>
        <w:t xml:space="preserve">Издательство: Статут, 2014</w:t>
      </w:r>
    </w:p>
    <w:p>
      <w:pPr/>
      <w:hyperlink r:id="rId9" w:history="1">
        <w:r>
          <w:rPr/>
          <w:t xml:space="preserve">Гражданское право : учебник : в 2 т. Т.1</w:t>
        </w:r>
      </w:hyperlink>
    </w:p>
    <w:p>
      <w:pPr>
        <w:jc w:val="start"/>
      </w:pPr>
      <w:r>
        <w:rPr/>
        <w:t xml:space="preserve">Под редакцией: Гонгало Б. М.</w:t>
      </w:r>
    </w:p>
    <w:p>
      <w:pPr>
        <w:jc w:val="start"/>
      </w:pPr>
      <w:r>
        <w:rPr/>
        <w:t xml:space="preserve">Издательство: Статут, 2016</w:t>
      </w:r>
    </w:p>
    <w:p>
      <w:pPr>
        <w:jc w:val="start"/>
      </w:pPr>
      <w:r>
        <w:rPr/>
        <w:t xml:space="preserve">https://www.biblio-online.ru/book/grazhdanskoe-pravo-rossii-osobennaya-chast-v-2-t-tom-1-434192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0" w:history="1">
        <w:r>
          <w:rPr/>
          <w:t xml:space="preserve">система Кодекс 6.4.2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DF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D0E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85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9E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7227&amp;sr=1" TargetMode="External"/><Relationship Id="rId8" Type="http://schemas.openxmlformats.org/officeDocument/2006/relationships/hyperlink" Target="http://biblioclub.ru/index.php?page=book_red&amp;id=450448&amp;sr=1" TargetMode="External"/><Relationship Id="rId9" Type="http://schemas.openxmlformats.org/officeDocument/2006/relationships/hyperlink" Target="http://biblioclub.ru/index.php?page=book_red&amp;id=453039&amp;sr=1" TargetMode="External"/><Relationship Id="rId10" Type="http://schemas.openxmlformats.org/officeDocument/2006/relationships/hyperlink" Target="https://reestr.minsvyaz.ru/reestr/155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2026-04-23T21:01:46+03:00</dcterms:created>
  <dcterms:modified xsi:type="dcterms:W3CDTF">2026-04-23T21:01:46+03:00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