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РАССМОТРЕНИЕ ДЕЛ О НЕСОСТОЯТЕЛЬНОСТИ (БАНКРОТСТВЕ) ФИЗИЧЕСКИХ И ЮРИДИЧЕСКИХ ЛИЦ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Рассмотрение дел о несостоятельности (банкротстве) физических и юридических лиц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Рассмотрение дел о несостоятельности (банкротстве)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банкротства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Лица учавствуйющие в деле о банкротстве и в процессе по делу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Обособленные споры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банкротства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проводится по темам занятий</w:t>
      </w:r>
    </w:p>
    <w:p>
      <w:pPr>
        <w:numPr>
          <w:ilvl w:val="0"/>
          <w:numId w:val="1"/>
        </w:numPr>
      </w:pPr>
      <w:r>
        <w:rPr/>
        <w:t xml:space="preserve">Цели и задачи института банкротства</w:t>
      </w:r>
    </w:p>
    <w:p>
      <w:pPr>
        <w:numPr>
          <w:ilvl w:val="0"/>
          <w:numId w:val="1"/>
        </w:numPr>
      </w:pPr>
      <w:r>
        <w:rPr/>
        <w:t xml:space="preserve">Признаки банкротства юридического лица и физического лица</w:t>
      </w:r>
    </w:p>
    <w:p>
      <w:pPr>
        <w:numPr>
          <w:ilvl w:val="0"/>
          <w:numId w:val="1"/>
        </w:numPr>
      </w:pPr>
      <w:r>
        <w:rPr/>
        <w:t xml:space="preserve">Подтверждение обоснованности заявления о признании банкротом юридического лица и физического лица.</w:t>
      </w:r>
    </w:p>
    <w:p>
      <w:pPr>
        <w:numPr>
          <w:ilvl w:val="0"/>
          <w:numId w:val="1"/>
        </w:numPr>
      </w:pPr>
      <w:r>
        <w:rPr/>
        <w:t xml:space="preserve">Процедуры, применяемые в деле о банкротстве юридического лица</w:t>
      </w:r>
    </w:p>
    <w:p>
      <w:pPr>
        <w:numPr>
          <w:ilvl w:val="0"/>
          <w:numId w:val="1"/>
        </w:numPr>
      </w:pPr>
      <w:r>
        <w:rPr/>
        <w:t xml:space="preserve">Процедуры, применяемые в деле о банкротстве физического лица</w:t>
      </w:r>
    </w:p>
    <w:p>
      <w:pPr>
        <w:numPr>
          <w:ilvl w:val="0"/>
          <w:numId w:val="1"/>
        </w:numPr>
      </w:pPr>
      <w:r>
        <w:rPr/>
        <w:t xml:space="preserve">Лица, участвующие в деле о банкротстве: правовой статус.</w:t>
      </w:r>
    </w:p>
    <w:p>
      <w:pPr>
        <w:numPr>
          <w:ilvl w:val="0"/>
          <w:numId w:val="1"/>
        </w:numPr>
      </w:pPr>
      <w:r>
        <w:rPr/>
        <w:t xml:space="preserve">Лица, участвующие в арбитражном процессе по делу о банкротстве: правовой статус.</w:t>
      </w:r>
    </w:p>
    <w:p>
      <w:pPr>
        <w:numPr>
          <w:ilvl w:val="0"/>
          <w:numId w:val="1"/>
        </w:numPr>
      </w:pPr>
      <w:r>
        <w:rPr/>
        <w:t xml:space="preserve">Арбитражный управляющий: правовой статус применительно к отдельным процедурам банкротства.</w:t>
      </w:r>
    </w:p>
    <w:p>
      <w:pPr>
        <w:numPr>
          <w:ilvl w:val="0"/>
          <w:numId w:val="1"/>
        </w:numPr>
      </w:pPr>
      <w:r>
        <w:rPr/>
        <w:t xml:space="preserve">Уполномоченный орган в деле о банкротстве: правовое положение.</w:t>
      </w:r>
    </w:p>
    <w:p>
      <w:pPr>
        <w:numPr>
          <w:ilvl w:val="0"/>
          <w:numId w:val="1"/>
        </w:numPr>
      </w:pPr>
      <w:r>
        <w:rPr/>
        <w:t xml:space="preserve">Собрание кредиторов: сроки проведения, принимаемые решения.</w:t>
      </w:r>
    </w:p>
    <w:p>
      <w:pPr>
        <w:numPr>
          <w:ilvl w:val="0"/>
          <w:numId w:val="1"/>
        </w:numPr>
      </w:pPr>
      <w:r>
        <w:rPr/>
        <w:t xml:space="preserve">Субсидиарная ответственность контролирующих лиц должника.</w:t>
      </w:r>
    </w:p>
    <w:p>
      <w:pPr>
        <w:numPr>
          <w:ilvl w:val="0"/>
          <w:numId w:val="1"/>
        </w:numPr>
      </w:pPr>
      <w:r>
        <w:rPr/>
        <w:t xml:space="preserve">Конкурсная масса: порядок формирования и реализации.</w:t>
      </w:r>
    </w:p>
    <w:p>
      <w:pPr>
        <w:numPr>
          <w:ilvl w:val="0"/>
          <w:numId w:val="1"/>
        </w:numPr>
      </w:pPr>
      <w:r>
        <w:rPr/>
        <w:t xml:space="preserve">Реестр требований кредиторов: понятие, очередность требований.</w:t>
      </w:r>
    </w:p>
    <w:p>
      <w:pPr>
        <w:numPr>
          <w:ilvl w:val="0"/>
          <w:numId w:val="1"/>
        </w:numPr>
      </w:pPr>
      <w:r>
        <w:rPr/>
        <w:t xml:space="preserve">Особенности правового положения залогового кредитора.</w:t>
      </w:r>
    </w:p>
    <w:p>
      <w:pPr>
        <w:numPr>
          <w:ilvl w:val="0"/>
          <w:numId w:val="1"/>
        </w:numPr>
      </w:pPr>
      <w:r>
        <w:rPr/>
        <w:t xml:space="preserve">Рассмотрение разногласий в деле о банкротстве должника.</w:t>
      </w:r>
    </w:p>
    <w:p>
      <w:pPr>
        <w:numPr>
          <w:ilvl w:val="0"/>
          <w:numId w:val="1"/>
        </w:numPr>
      </w:pPr>
      <w:r>
        <w:rPr/>
        <w:t xml:space="preserve">Погашение задолженности должника третьим лицом: порядок, последствия.</w:t>
      </w:r>
    </w:p>
    <w:p>
      <w:pPr>
        <w:numPr>
          <w:ilvl w:val="0"/>
          <w:numId w:val="1"/>
        </w:numPr>
      </w:pPr>
      <w:r>
        <w:rPr/>
        <w:t xml:space="preserve">Оспаривание торгов в деле о банкротстве должника.</w:t>
      </w:r>
    </w:p>
    <w:p>
      <w:pPr>
        <w:numPr>
          <w:ilvl w:val="0"/>
          <w:numId w:val="1"/>
        </w:numPr>
      </w:pPr>
      <w:r>
        <w:rPr/>
        <w:t xml:space="preserve">Оспаривание сделок должника – юридического лица: основания, сроки, правовые последствия.</w:t>
      </w:r>
    </w:p>
    <w:p>
      <w:pPr>
        <w:numPr>
          <w:ilvl w:val="0"/>
          <w:numId w:val="1"/>
        </w:numPr>
      </w:pPr>
      <w:r>
        <w:rPr/>
        <w:t xml:space="preserve">Оспаривание сделок должника – физического лица: основания, сроки, правовые последствия.</w:t>
      </w:r>
    </w:p>
    <w:p>
      <w:pPr>
        <w:numPr>
          <w:ilvl w:val="0"/>
          <w:numId w:val="1"/>
        </w:numPr>
      </w:pPr>
      <w:r>
        <w:rPr/>
        <w:t xml:space="preserve">Добросовестность в деле о банкротстве физического лица.</w:t>
      </w:r>
    </w:p>
    <w:p>
      <w:pPr>
        <w:numPr>
          <w:ilvl w:val="0"/>
          <w:numId w:val="1"/>
        </w:numPr>
      </w:pPr>
      <w:r>
        <w:rPr/>
        <w:t xml:space="preserve">Последствия признания гражданина банкротом: ограничения и применение гарантии освобождения от обязательств.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(Средство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2"/>
        </w:numPr>
      </w:pPr>
      <w:r>
        <w:rPr/>
        <w:t xml:space="preserve">Цели и задачи института банкротства</w:t>
      </w:r>
    </w:p>
    <w:p>
      <w:pPr>
        <w:numPr>
          <w:ilvl w:val="0"/>
          <w:numId w:val="2"/>
        </w:numPr>
      </w:pPr>
      <w:r>
        <w:rPr/>
        <w:t xml:space="preserve">Признаки банкротства юридического лица и физического лица</w:t>
      </w:r>
    </w:p>
    <w:p>
      <w:pPr>
        <w:numPr>
          <w:ilvl w:val="0"/>
          <w:numId w:val="2"/>
        </w:numPr>
      </w:pPr>
      <w:r>
        <w:rPr/>
        <w:t xml:space="preserve">Подтверждение обоснованности заявления о признании банкротом юридического лица и физического лица.</w:t>
      </w:r>
    </w:p>
    <w:p>
      <w:pPr>
        <w:numPr>
          <w:ilvl w:val="0"/>
          <w:numId w:val="2"/>
        </w:numPr>
      </w:pPr>
      <w:r>
        <w:rPr/>
        <w:t xml:space="preserve">Процедуры, применяемые в деле о банкротстве юридического лица</w:t>
      </w:r>
    </w:p>
    <w:p>
      <w:pPr>
        <w:numPr>
          <w:ilvl w:val="0"/>
          <w:numId w:val="2"/>
        </w:numPr>
      </w:pPr>
      <w:r>
        <w:rPr/>
        <w:t xml:space="preserve">Процедуры, применяемые в деле о банкротстве физического лица</w:t>
      </w:r>
    </w:p>
    <w:p>
      <w:pPr>
        <w:numPr>
          <w:ilvl w:val="0"/>
          <w:numId w:val="2"/>
        </w:numPr>
      </w:pPr>
      <w:r>
        <w:rPr/>
        <w:t xml:space="preserve">Лица, участвующие в деле о банкротстве: правовой статус.</w:t>
      </w:r>
    </w:p>
    <w:p>
      <w:pPr>
        <w:numPr>
          <w:ilvl w:val="0"/>
          <w:numId w:val="2"/>
        </w:numPr>
      </w:pPr>
      <w:r>
        <w:rPr/>
        <w:t xml:space="preserve">Лица, участвующие в арбитражном процессе по делу о банкротстве: правовой статус.</w:t>
      </w:r>
    </w:p>
    <w:p>
      <w:pPr>
        <w:numPr>
          <w:ilvl w:val="0"/>
          <w:numId w:val="2"/>
        </w:numPr>
      </w:pPr>
      <w:r>
        <w:rPr/>
        <w:t xml:space="preserve">Арбитражный управляющий: правовой статус применительно к отдельным процедурам банкротства.</w:t>
      </w:r>
    </w:p>
    <w:p>
      <w:pPr>
        <w:numPr>
          <w:ilvl w:val="0"/>
          <w:numId w:val="2"/>
        </w:numPr>
      </w:pPr>
      <w:r>
        <w:rPr/>
        <w:t xml:space="preserve">Уполномоченный орган в деле о банкротстве: правовое положение.</w:t>
      </w:r>
    </w:p>
    <w:p>
      <w:pPr>
        <w:numPr>
          <w:ilvl w:val="0"/>
          <w:numId w:val="2"/>
        </w:numPr>
      </w:pPr>
      <w:r>
        <w:rPr/>
        <w:t xml:space="preserve">Собрание кредиторов: сроки проведения, принимаемые решения.</w:t>
      </w:r>
    </w:p>
    <w:p>
      <w:pPr>
        <w:numPr>
          <w:ilvl w:val="0"/>
          <w:numId w:val="2"/>
        </w:numPr>
      </w:pPr>
      <w:r>
        <w:rPr/>
        <w:t xml:space="preserve">Субсидиарная ответственность контролирующих лиц должника.</w:t>
      </w:r>
    </w:p>
    <w:p>
      <w:pPr>
        <w:numPr>
          <w:ilvl w:val="0"/>
          <w:numId w:val="2"/>
        </w:numPr>
      </w:pPr>
      <w:r>
        <w:rPr/>
        <w:t xml:space="preserve">Конкурсная масса: порядок формирования и реализации.</w:t>
      </w:r>
    </w:p>
    <w:p>
      <w:pPr>
        <w:numPr>
          <w:ilvl w:val="0"/>
          <w:numId w:val="2"/>
        </w:numPr>
      </w:pPr>
      <w:r>
        <w:rPr/>
        <w:t xml:space="preserve">Реестр требований кредиторов: понятие, очередность требований.</w:t>
      </w:r>
    </w:p>
    <w:p>
      <w:pPr>
        <w:numPr>
          <w:ilvl w:val="0"/>
          <w:numId w:val="2"/>
        </w:numPr>
      </w:pPr>
      <w:r>
        <w:rPr/>
        <w:t xml:space="preserve">Особенности правового положения залогового кредитора.</w:t>
      </w:r>
    </w:p>
    <w:p>
      <w:pPr>
        <w:numPr>
          <w:ilvl w:val="0"/>
          <w:numId w:val="2"/>
        </w:numPr>
      </w:pPr>
      <w:r>
        <w:rPr/>
        <w:t xml:space="preserve">Рассмотрение разногласий в деле о банкротстве должника.</w:t>
      </w:r>
    </w:p>
    <w:p>
      <w:pPr>
        <w:numPr>
          <w:ilvl w:val="0"/>
          <w:numId w:val="2"/>
        </w:numPr>
      </w:pPr>
      <w:r>
        <w:rPr/>
        <w:t xml:space="preserve">Погашение задолженности должника третьим лицом: порядок, последствия.</w:t>
      </w:r>
    </w:p>
    <w:p>
      <w:pPr>
        <w:numPr>
          <w:ilvl w:val="0"/>
          <w:numId w:val="2"/>
        </w:numPr>
      </w:pPr>
      <w:r>
        <w:rPr/>
        <w:t xml:space="preserve">Оспаривание торгов в деле о банкротстве должника.</w:t>
      </w:r>
    </w:p>
    <w:p>
      <w:pPr>
        <w:numPr>
          <w:ilvl w:val="0"/>
          <w:numId w:val="2"/>
        </w:numPr>
      </w:pPr>
      <w:r>
        <w:rPr/>
        <w:t xml:space="preserve">Оспаривание сделок должника – юридического лица: основания, сроки, правовые последствия.</w:t>
      </w:r>
    </w:p>
    <w:p>
      <w:pPr>
        <w:numPr>
          <w:ilvl w:val="0"/>
          <w:numId w:val="2"/>
        </w:numPr>
      </w:pPr>
      <w:r>
        <w:rPr/>
        <w:t xml:space="preserve">Оспаривание сделок должника – физического лица: основания, сроки, правовые последствия.</w:t>
      </w:r>
    </w:p>
    <w:p>
      <w:pPr>
        <w:numPr>
          <w:ilvl w:val="0"/>
          <w:numId w:val="2"/>
        </w:numPr>
      </w:pPr>
      <w:r>
        <w:rPr/>
        <w:t xml:space="preserve">Добросовестность в деле о банкротстве физического лица.</w:t>
      </w:r>
    </w:p>
    <w:p>
      <w:pPr>
        <w:numPr>
          <w:ilvl w:val="0"/>
          <w:numId w:val="2"/>
        </w:numPr>
      </w:pPr>
      <w:r>
        <w:rPr/>
        <w:t xml:space="preserve">Последствия признания гражданина банкротом: ограничения и применение гарантии освобождения от обязательств.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Основные методики и приемы изложения курса </w:t>
      </w:r>
      <w:r>
        <w:rPr/>
        <w:t xml:space="preserve">включают в себя: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Федеральный закон от 26.10.2002 N 127-ФЗ "О несостоятельности (банкротстве)"</w:t>
      </w:r>
    </w:p>
    <w:p>
      <w:pPr/>
      <w:r>
        <w:rPr>
          <w:i w:val="1"/>
          <w:iCs w:val="1"/>
        </w:rPr>
        <w:t xml:space="preserve">Уханова, А.П. ОСПАРИВАНИЕ СДЕЛОК ДОЛЖНИКА: К ВОПРОСУ О ПРЕДЕЛАХ РЕАЛИЗАЦИИ ПРИНЦИПА ДОБРОСОВЕСТНОСТИ В БАНКРОТСТВЕ ГРАЖДАН [Текст] / А.П. Уханова // актуальные проблемы экономики и права. - киров, 2019. - С.200-204. - Режим доступа: https://elibrary.ru/item.asp?id=41326388. (РИНЦ)</w:t>
      </w:r>
    </w:p>
    <w:p>
      <w:pPr/>
      <w:r>
        <w:rPr>
          <w:i w:val="1"/>
          <w:iCs w:val="1"/>
        </w:rPr>
        <w:t xml:space="preserve">Пирогова, Е. С. </w:t>
      </w:r>
    </w:p>
    <w:p>
      <w:pPr/>
      <w:r>
        <w:rPr/>
        <w:t xml:space="preserve"> </w:t>
      </w:r>
    </w:p>
    <w:p>
      <w:pPr/>
      <w:r>
        <w:rPr/>
        <w:t xml:space="preserve">Правовое регулирование несостоятельности (банкротства) : учебник для вузов / Е. С. Пирогова, А. Я. Курбатов. — 3-е изд., перераб. и доп. — Москва : Издательство Юрайт, 2021. — 309 с. — (Высшее образование). — ISBN 978-5-534-14797-1.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https://urait.ru/bcode/481951</w:t>
        </w:r>
      </w:hyperlink>
    </w:p>
    <w:p>
      <w:pPr/>
      <w:r>
        <w:rPr>
          <w:i w:val="1"/>
          <w:iCs w:val="1"/>
        </w:rPr>
        <w:t xml:space="preserve">Юлова, Е. С. </w:t>
      </w:r>
    </w:p>
    <w:p>
      <w:pPr/>
      <w:r>
        <w:rPr/>
        <w:t xml:space="preserve">Правовое регулирование несостоятельности (банкротства) : учебник и практикум для бакалавриата и магистратуры / Е. С. Юлова. — Москва : Издательство Юрайт, 2019. — 413 с. — (Высшее образование). — ISBN 978-5-534-00344-4. — Текст : электронный // ЭБС Юрайт [сайт]. — URL: </w:t>
      </w:r>
    </w:p>
    <w:p>
      <w:pPr/>
      <w:hyperlink r:id="rId8" w:history="1">
        <w:r>
          <w:rPr/>
          <w:t xml:space="preserve">https://biblio-online.ru/bcode/433119</w:t>
        </w:r>
      </w:hyperlink>
    </w:p>
    <w:p>
      <w:pPr/>
      <w:r>
        <w:rPr/>
        <w:t xml:space="preserve"> (дата обращения: 21.10.2019).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9" w:history="1">
        <w:r>
          <w:rPr/>
          <w:t xml:space="preserve">http://www.sudrf.ru/</w:t>
        </w:r>
      </w:hyperlink>
    </w:p>
    <w:p>
      <w:pPr/>
      <w:hyperlink r:id="rId10" w:history="1">
        <w:r>
          <w:rPr/>
          <w:t xml:space="preserve">http://www.kad.arbitr.ru</w:t>
        </w:r>
      </w:hyperlink>
    </w:p>
    <w:p>
      <w:pPr/>
      <w:hyperlink r:id="rId11" w:history="1">
        <w:r>
          <w:rPr/>
          <w:t xml:space="preserve">http://www.consultant.ru/</w:t>
        </w:r>
      </w:hyperlink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E5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97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52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28D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1951" TargetMode="External"/><Relationship Id="rId8" Type="http://schemas.openxmlformats.org/officeDocument/2006/relationships/hyperlink" Target="https://biblio-online.ru/bcode/433119" TargetMode="External"/><Relationship Id="rId9" Type="http://schemas.openxmlformats.org/officeDocument/2006/relationships/hyperlink" Target="http://www.sudrf.ru/" TargetMode="External"/><Relationship Id="rId10" Type="http://schemas.openxmlformats.org/officeDocument/2006/relationships/hyperlink" Target="http://www.kad.arbitr.ru" TargetMode="External"/><Relationship Id="rId11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