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jc w:val="center"/>
        <w:ind w:left="0" w:right="0" w:firstLine="0" w:hanging="0"/>
        <w:spacing w:before="0" w:after="0"/>
      </w:pPr>
      <w:r>
        <w:rPr>
          <w:sz w:val="28"/>
          <w:szCs w:val="28"/>
        </w:rPr>
        <w:t xml:space="preserve"/>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АКТУАЛЬНЫЕ ПРОБЛЕМЫ ГРАЖДАНСКОГО ПРАВА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Туманов Роман Викторович, кандидат юридических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Способен принимать участие в проведении юридической экспертизы проектов нормативных правовых актов и квалифицированно толковать нормативные правовые акты</w:t>
            </w:r>
          </w:p>
        </w:tc>
        <w:tc>
          <w:tcPr>
            <w:tcW w:w="3100" w:type="dxa"/>
            <w:noWrap/>
          </w:tcPr>
          <w:p>
            <w:pPr/>
            <w:r>
              <w:rPr/>
              <w:t xml:space="preserve">ПК-3.1. Знает основы и специфику проведения исследования в рамках юридической экспертизы проектов нормативных правовых актов; </w:t>
            </w:r>
          </w:p>
          <w:p/>
          <w:p>
            <w:pPr/>
            <w:r>
              <w:rPr/>
              <w:t xml:space="preserve">ПК-3.2. Проводит исследования в рамках юридической экспертизы проектов нормативных правовых актов;</w:t>
            </w:r>
          </w:p>
          <w:p/>
          <w:p>
            <w:pPr/>
            <w:r>
              <w:rPr/>
              <w:t xml:space="preserve">ПК-3.3. Осуществляет квалифицированное толкование нормативных правовых актов;</w:t>
            </w:r>
          </w:p>
          <w:p/>
          <w:p>
            <w:pPr/>
            <w:r>
              <w:rPr/>
              <w:t xml:space="preserve">ПК-3.4. Владеет практическими навыками квалифицированного исследования в рамках юридической экспертизы проектов нормативных правовых актов в конкретных отраслях права и их толкования</w:t>
            </w:r>
          </w:p>
        </w:tc>
      </w:tr>
      <w:tr>
        <w:trPr/>
        <w:tc>
          <w:tcPr>
            <w:tcW w:w="2500" w:type="dxa"/>
            <w:noWrap/>
          </w:tcPr>
          <w:p>
            <w:pPr>
              <w:jc w:val="numTab"/>
              <w:ind w:left="0" w:right="0" w:firstLine="0" w:hanging="0"/>
            </w:pPr>
            <w:r>
              <w:rPr/>
              <w:t xml:space="preserve">ПК-4
Начальный</w:t>
            </w:r>
          </w:p>
        </w:tc>
        <w:tc>
          <w:tcPr>
            <w:tcW w:w="4000" w:type="dxa"/>
            <w:noWrap/>
          </w:tcPr>
          <w:p>
            <w:pPr>
              <w:jc w:val="numTab"/>
              <w:ind w:left="0" w:right="0" w:firstLine="0" w:hanging="0"/>
            </w:pPr>
            <w:r>
              <w:rPr/>
              <w:t xml:space="preserve">Способен давать квалифицированные юридические консультации в конкретных сферах юридической деятельности</w:t>
            </w:r>
          </w:p>
        </w:tc>
        <w:tc>
          <w:tcPr>
            <w:tcW w:w="3100" w:type="dxa"/>
            <w:noWrap/>
          </w:tcPr>
          <w:p>
            <w:pPr/>
            <w:r>
              <w:rPr/>
              <w:t xml:space="preserve">ПК-4.1. Знает специфику и методику осуществления консультирования в конкретных сферах юридической деятельности; </w:t>
            </w:r>
          </w:p>
          <w:p/>
          <w:p>
            <w:pPr/>
            <w:r>
              <w:rPr/>
              <w:t xml:space="preserve">ПК-4.2. Дает квалифицированные  консультации в конкретных сферах юридической деятельности;</w:t>
            </w:r>
          </w:p>
          <w:p/>
          <w:p>
            <w:pPr/>
            <w:r>
              <w:rPr/>
              <w:t xml:space="preserve">ПК-4.3. Владеет навыками правового консультирования в конкретных сферах юридической деятельности</w:t>
            </w:r>
          </w:p>
        </w:tc>
      </w:tr>
      <w:tr>
        <w:trPr/>
        <w:tc>
          <w:tcPr>
            <w:tcW w:w="2500" w:type="dxa"/>
            <w:noWrap/>
          </w:tcPr>
          <w:p>
            <w:pPr>
              <w:jc w:val="numTab"/>
              <w:ind w:left="0" w:right="0" w:firstLine="0" w:hanging="0"/>
            </w:pPr>
            <w:r>
              <w:rPr/>
              <w:t xml:space="preserve">ПК-9
Основной</w:t>
            </w:r>
          </w:p>
        </w:tc>
        <w:tc>
          <w:tcPr>
            <w:tcW w:w="4000" w:type="dxa"/>
            <w:noWrap/>
          </w:tcPr>
          <w:p>
            <w:pPr>
              <w:jc w:val="numTab"/>
              <w:ind w:left="0" w:right="0" w:firstLine="0" w:hanging="0"/>
            </w:pPr>
            <w:r>
              <w:rPr/>
              <w:t xml:space="preserve">Способен осуществлять квалификацию фактов, событий и обстоятельств по уголовным делам</w:t>
            </w:r>
          </w:p>
        </w:tc>
        <w:tc>
          <w:tcPr>
            <w:tcW w:w="3100" w:type="dxa"/>
            <w:noWrap/>
          </w:tcPr>
          <w:p>
            <w:pPr/>
            <w:r>
              <w:rPr/>
              <w:t xml:space="preserve">ПК-9.1. Знает правила осуществления квалификации фактов и обстоятельств по уголовным делам;</w:t>
            </w:r>
          </w:p>
          <w:p/>
          <w:p>
            <w:pPr/>
            <w:r>
              <w:rPr/>
              <w:t xml:space="preserve">ПК-9.2. Осуществляет квалификацию фактов, событий и обстоятельств по уголовным делам;</w:t>
            </w:r>
          </w:p>
          <w:p/>
          <w:p>
            <w:pPr/>
            <w:r>
              <w:rPr/>
              <w:t xml:space="preserve">ПК-9.3. Владеет навыками квалификации фактов, событий и обстоятельств по уголовным делам</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Актуальные проблемы гражданского права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2</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Актуальные положения гражданского права.</w:t>
            </w:r>
          </w:p>
        </w:tc>
        <w:tc>
          <w:tcPr>
            <w:noWrap/>
          </w:tcPr>
          <w:p>
            <w:pPr>
              <w:jc w:val="left"/>
              <w:ind w:left="0" w:right="0" w:firstLine="0" w:hanging="0"/>
            </w:pPr>
            <w:r>
              <w:rPr/>
              <w:t xml:space="preserve">54</w:t>
            </w:r>
          </w:p>
        </w:tc>
        <w:tc>
          <w:tcPr>
            <w:noWrap/>
          </w:tcPr>
          <w:p>
            <w:pPr>
              <w:jc w:val="left"/>
              <w:ind w:left="0" w:right="0" w:firstLine="0" w:hanging="0"/>
            </w:pPr>
            <w:r>
              <w:rPr/>
              <w:t xml:space="preserve">1</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c>
          <w:tcPr>
            <w:noWrap/>
          </w:tcPr>
          <w:p>
            <w:pPr>
              <w:jc w:val="left"/>
              <w:ind w:left="0" w:right="0" w:firstLine="0" w:hanging="0"/>
            </w:pPr>
            <w:r>
              <w:rPr/>
              <w:t xml:space="preserve">50</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Субъекты и объекты гражданского права.</w:t>
            </w:r>
          </w:p>
        </w:tc>
        <w:tc>
          <w:tcPr>
            <w:noWrap/>
          </w:tcPr>
          <w:p>
            <w:pPr>
              <w:jc w:val="left"/>
              <w:ind w:left="0" w:right="0" w:firstLine="0" w:hanging="0"/>
            </w:pPr>
            <w:r>
              <w:rPr/>
              <w:t xml:space="preserve">22</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19</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Сделки. Представительство.</w:t>
            </w:r>
          </w:p>
        </w:tc>
        <w:tc>
          <w:tcPr>
            <w:noWrap/>
          </w:tcPr>
          <w:p>
            <w:pPr>
              <w:jc w:val="left"/>
              <w:ind w:left="0" w:right="0" w:firstLine="0" w:hanging="0"/>
            </w:pPr>
            <w:r>
              <w:rPr/>
              <w:t xml:space="preserve">9</w:t>
            </w:r>
          </w:p>
        </w:tc>
        <w:tc>
          <w:tcPr>
            <w:noWrap/>
          </w:tcPr>
          <w:p>
            <w:pPr>
              <w:jc w:val="left"/>
              <w:ind w:left="0" w:right="0" w:firstLine="0" w:hanging="0"/>
            </w:pPr>
            <w:r>
              <w:rPr/>
              <w:t xml:space="preserve">1</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Собеседование;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Осуществление и защита субъективных гражданских прав.</w:t>
            </w:r>
          </w:p>
        </w:tc>
        <w:tc>
          <w:tcPr>
            <w:noWrap/>
          </w:tcPr>
          <w:p>
            <w:pPr>
              <w:jc w:val="left"/>
              <w:ind w:left="0" w:right="0" w:firstLine="0" w:hanging="0"/>
            </w:pPr>
            <w:r>
              <w:rPr/>
              <w:t xml:space="preserve">23</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21</w:t>
            </w:r>
          </w:p>
        </w:tc>
        <w:tc>
          <w:tcPr>
            <w:noWrap/>
          </w:tcPr>
          <w:p>
            <w:pPr>
              <w:jc w:val="left"/>
              <w:ind w:left="0" w:right="0" w:firstLine="0" w:hanging="0"/>
            </w:pPr>
            <w:r>
              <w:rPr/>
              <w:t xml:space="preserve">Контрольная работа; Собеседование; Зачет</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функции гражданского права. Принципы гражданского права. Система гражданского права. Источники гражданского права. Состав гражданского законодательства. Гражданские правоотношения.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Физические лица как субъекты гражданского права. Юридические лица гражданского права. Публично-правовые образования гражданского права. Вещи, деньги и ценные бумаги как объекты гражданского права. Нематериальные объекты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и виды сделок. Недействительные сделки. Представительство, доверенность.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Осуществление и защита субъективных гражданских прав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функции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Принципы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Система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Источники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Состав гражданского законодательства.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Гражданские правоотношения.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3.2</w:t>
            </w:r>
          </w:p>
        </w:tc>
        <w:tc>
          <w:tcPr>
            <w:noWrap/>
          </w:tcPr>
          <w:p>
            <w:pPr>
              <w:jc w:val="left"/>
              <w:ind w:left="0" w:right="0" w:firstLine="0" w:hanging="0"/>
            </w:pPr>
            <w:r>
              <w:rPr/>
              <w:t xml:space="preserve">Физические лица как субъекты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Юридические лица как субъекты гражданского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контрольной работы.</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Прочитать лекционный материал первого раздела. Решение заданий из домашней контрольной работы.</w:t>
            </w:r>
          </w:p>
        </w:tc>
        <w:tc>
          <w:tcPr>
            <w:noWrap/>
          </w:tcPr>
          <w:p>
            <w:pPr>
              <w:jc w:val="left"/>
              <w:ind w:left="0" w:right="0" w:firstLine="0" w:hanging="0"/>
            </w:pPr>
            <w:r>
              <w:rPr/>
              <w:t xml:space="preserve">41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Прочитать лекционный материал второго раздела. Решение заданий из домашней контрольной работы.</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Решение заданий из домашней контрольной работы.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7</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проводится в традиционной форма: лекции и практические занятия.</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собеседование.</w:t>
      </w:r>
    </w:p>
    <w:p>
      <w:pPr/>
      <w:r>
        <w:rPr/>
        <w:t xml:space="preserve">Оценочные средства для текущего контроля.</w:t>
      </w:r>
    </w:p>
    <w:p>
      <w:pPr/>
      <w:r>
        <w:rPr/>
        <w:t xml:space="preserve">Контрольная работа</w:t>
      </w:r>
    </w:p>
    <w:p>
      <w:pPr/>
      <w:r>
        <w:rPr/>
        <w:t xml:space="preserve">Примерный вариант работы:</w:t>
      </w:r>
    </w:p>
    <w:p>
      <w:pPr/>
      <w:r>
        <w:rPr>
          <w:b w:val="1"/>
          <w:bCs w:val="1"/>
          <w:i w:val="1"/>
          <w:iCs w:val="1"/>
        </w:rPr>
        <w:t xml:space="preserve">Задача 1. Источники гражданского права</w:t>
      </w:r>
    </w:p>
    <w:p>
      <w:pPr/>
      <w:r>
        <w:rPr/>
        <w:t xml:space="preserve">Иванов предъявил иск к гостинице «Москва» о взыскании стоимости вещей, которые были похищены у него во время проживания в гостинице. Кража была совершена из номера, в котором жил Иванов и другие граждане (4-местный номер). Представитель гостиницы иск не принял, ссылаясь на распоряжение администрации, согласно которому гостиница не отвечает за утрату вещей, не сданных на хранение. Иванов с правилами был ознакомлен.</w:t>
      </w:r>
    </w:p>
    <w:p>
      <w:pPr/>
      <w:r>
        <w:rPr/>
        <w:t xml:space="preserve">Решите задачу (дать мотивированный ответ со ссылкой на закон).</w:t>
      </w:r>
    </w:p>
    <w:p>
      <w:pPr/>
    </w:p>
    <w:p>
      <w:pPr/>
      <w:r>
        <w:rPr>
          <w:b w:val="1"/>
          <w:bCs w:val="1"/>
          <w:i w:val="1"/>
          <w:iCs w:val="1"/>
        </w:rPr>
        <w:t xml:space="preserve">Решение задачи 1. </w:t>
      </w:r>
      <w:r>
        <w:rPr/>
        <w:t xml:space="preserve">В обязанности гостиницы входит осуществление хранения вещей клиентов, внесенных в гостиницу, за исключением денег, иных валютных ценностей, ценных бумаг и других драгоценных вещей. Под гостиницей понимаются также мотели, дома отдыха, пансионаты, санатории, бани и другие подобные организации.</w:t>
      </w:r>
    </w:p>
    <w:p>
      <w:pPr/>
      <w:r>
        <w:rPr/>
        <w:t xml:space="preserve">Гостиница несет ответственность перед клиентом без особого о том соглашения с проживающим в ней лицом (постояльцем) за утрату, недостачу или повреждение его вещей. 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 Сделанное гостиницей объявление о том, что она не принимает на себя ответственности за не сохранность вещей постояльцев, не освобождает ее от ответственности.</w:t>
      </w:r>
    </w:p>
    <w:p>
      <w:pPr/>
      <w:r>
        <w:rPr/>
        <w:t xml:space="preserve">Исключения составляют деньги, иные валютные ценности, ценные бумаги и другие драгоценные вещи постояльца, за которые гостиница несет ответственность лишь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w:t>
      </w:r>
    </w:p>
    <w:p>
      <w:pPr/>
      <w:r>
        <w:rPr/>
        <w:t xml:space="preserve">Гостиница освобождается от ответственности за не 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 сохранность вещей (ст. 925 Гражданского кодекса РФ).</w:t>
      </w:r>
    </w:p>
    <w:p>
      <w:pPr/>
      <w:r>
        <w:rPr/>
        <w:t xml:space="preserve">Учитывая изложенное, Иванов правомерно подал иск к гостинице «Москва», а аргументы представителя гостиницы не должны быть приняты судом в связи с тем, что они противоречат ст. 925 Гражданского кодекса РФ.</w:t>
      </w:r>
    </w:p>
    <w:p>
      <w:pPr/>
    </w:p>
    <w:p>
      <w:pPr/>
      <w:r>
        <w:rPr>
          <w:b w:val="1"/>
          <w:bCs w:val="1"/>
          <w:i w:val="1"/>
          <w:iCs w:val="1"/>
        </w:rPr>
        <w:t xml:space="preserve">Задача 2.</w:t>
      </w:r>
      <w:r>
        <w:rPr>
          <w:i w:val="1"/>
          <w:iCs w:val="1"/>
        </w:rPr>
        <w:t xml:space="preserve"> </w:t>
      </w:r>
      <w:r>
        <w:rPr/>
        <w:t xml:space="preserve">12-летний Костя Н. получил в подарок от деда велосипед. Поскольку Косте срочно понадобились коньки, он продал велосипед знакомому подростку 16 лет, а на вырученные деньги купил коньки. Отец Кости, узнав об этом, расценил поступок сына как неуважение к деду, пошел к подростку-покупателю с намерением вернуть деньги и забрать велосипед. Однако купивший велосипед подросток взять деньги и вернуть велосипед отказался, завив, что цену он дал за покупку нормальную, а Костя продал велосипед, принадлежащий не отцу, а самому Косте, что каждый может сам распоряжаться принадлежащим ему имуществом, и оснований для расторжения договора нет.</w:t>
      </w:r>
    </w:p>
    <w:p>
      <w:pPr/>
      <w:r>
        <w:rPr>
          <w:i w:val="1"/>
          <w:iCs w:val="1"/>
        </w:rPr>
        <w:t xml:space="preserve">Вопросы к задаче:</w:t>
      </w:r>
    </w:p>
    <w:p>
      <w:pPr/>
      <w:r>
        <w:rPr/>
        <w:t xml:space="preserve">1. Имеет ли юридическую силу договор купли-продажи велосипеда между упомянутыми подростками?</w:t>
      </w:r>
    </w:p>
    <w:p>
      <w:pPr/>
      <w:r>
        <w:rPr/>
        <w:t xml:space="preserve">2. Каковы права отца Кости в этой ситуации и как они могут быть реализованы?</w:t>
      </w:r>
    </w:p>
    <w:p>
      <w:pPr/>
      <w:r>
        <w:rPr/>
        <w:t xml:space="preserve">3. Изменилась бы ситуация, если бы Косте было 15 лет? 19 лет?</w:t>
      </w:r>
    </w:p>
    <w:p>
      <w:pPr/>
      <w:r>
        <w:rPr>
          <w:b w:val="1"/>
          <w:bCs w:val="1"/>
          <w:i w:val="1"/>
          <w:iCs w:val="1"/>
        </w:rPr>
        <w:t xml:space="preserve">Решение задачи 2. </w:t>
      </w:r>
    </w:p>
    <w:p>
      <w:pPr/>
      <w:r>
        <w:rPr/>
        <w:t xml:space="preserve">1. Из ч.1 ст. 21 Гражданского кодекса РФ следует, что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 В соответствии со ст.28 ГК РФ, за несовершеннолетних, не достигших четырнадцати лет (малолетних), сделки, за исключением указанных в пункте 2 настоящей статьи, могут совершать от их имени только их родители, усыновители или опекуны. К сделкам законных представителей несовершеннолетнего с его имуществом применяются правила, предусмотренные пунктами 2 и 3 статьи 37 настоящего Кодекса. Малолетние в возрасте от шести до четырнадцати лет вправе самостоятельно совершать:1) мелкие бытовые сделки;2) сделки, направленные на безвозмездное получение выгоды, не требующие нотариального удостоверения либо государственной регистрации;3)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законом также отвечают за вред, причиненный малолетними.</w:t>
      </w:r>
    </w:p>
    <w:p>
      <w:pPr/>
      <w:r>
        <w:rPr/>
        <w:t xml:space="preserve">Так как сделка по продаже велосипеда не является мелкой бытовой, то она должна быть признана недействительной.</w:t>
      </w:r>
    </w:p>
    <w:p>
      <w:pPr/>
      <w:r>
        <w:rPr/>
        <w:t xml:space="preserve">2. Недействительна сделка, совершенная несовершеннолетним, не достигшим четырнадцати лет (малолетним). К такой сделке применяются правила, предусмотренные абзацами вторым и третьим пункта 1 статьи 171 ГК РФ.</w:t>
      </w:r>
    </w:p>
    <w:p>
      <w:pPr/>
      <w:r>
        <w:rPr/>
        <w:t xml:space="preserve">3. В случае, если бы Косте было 15 лет, то решение было бы иным.</w:t>
      </w:r>
    </w:p>
    <w:p>
      <w:pPr/>
      <w:r>
        <w:rPr/>
        <w:t xml:space="preserve">Общее требование п. 1 ст. 26 знает ряд исключений, когда несовершеннолетний может самостоятельно и без согласования совершать сделки, их исчерпывающий перечень содержит п. 2 ст. 26. Прежде всего это распоряжение несовершеннолетним своим доходом - заработком, стипендией, гонораром, дивидендом, выигрышем и др. (далее - доход). Закон не дает ответа на вопрос, может ли несовершеннолетний распоряжаться имуществом, приобретенным на этот доход (за рамками мелких бытовых и иных сделок, которые самостоятельно могут совершать даже малолетние). В современных экономико-правовых условиях положительное его решение сомнений не вызывает, учитывая в том числе и то, что доход, о котором идет речь в подп. 1 п. 2 ст. 26, поступающий в самостоятельное распоряжение несовершеннолетнего, может быть и денежным, и натуральным.</w:t>
      </w:r>
    </w:p>
    <w:p>
      <w:pPr/>
      <w:r>
        <w:rPr/>
        <w:t xml:space="preserve">Таким образом, если считать, что подарок в виде велосипеда – это доход Кости, то 15 летний подросток мог распоряжаться им по своему усмотрению. Если бы Косте было 19 лет, то он обладал бы полной дееспособностью, сделка также считалась бы действительной.</w:t>
      </w:r>
    </w:p>
    <w:p>
      <w:pPr/>
    </w:p>
    <w:p>
      <w:pPr/>
      <w:r>
        <w:rPr>
          <w:b w:val="1"/>
          <w:bCs w:val="1"/>
          <w:i w:val="1"/>
          <w:iCs w:val="1"/>
        </w:rPr>
        <w:t xml:space="preserve">Задача 3</w:t>
      </w:r>
      <w:r>
        <w:rPr/>
        <w:t xml:space="preserve">. Акционерное общество обратилось в арбитражный суд с иском о признании недействительным договора купли-продажи, заключенного между предпринимателем и обществом с ограниченной ответственностью. В обоснование своих требований истец указал, что он продал строение предпринимателю, который, не уплатив его стоимости и не зарегистрировав перехода права собственности, перепродал строение обществу с ограниченной ответственностью. Получив плату за строение, предприниматель скрылся. Арбитражный суд в иске акционерному обществу отказал. Правильно ли решение суда?</w:t>
      </w:r>
    </w:p>
    <w:p>
      <w:pPr/>
      <w:r>
        <w:rPr>
          <w:b w:val="1"/>
          <w:bCs w:val="1"/>
          <w:i w:val="1"/>
          <w:iCs w:val="1"/>
        </w:rPr>
        <w:t xml:space="preserve">Решение задачи 3. </w:t>
      </w:r>
      <w:r>
        <w:rPr/>
        <w:t xml:space="preserve">Из ст.549 Гражданского кодекса РФ следует, что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(ст.130)</w:t>
      </w:r>
    </w:p>
    <w:p>
      <w:pPr/>
      <w:r>
        <w:rPr/>
        <w:t xml:space="preserve">Договор продажи недвижимости заключается в письменной форме путем составления одного документа, подписанного сторонами (пункт 2 ст. 434)</w:t>
      </w:r>
    </w:p>
    <w:p>
      <w:pPr/>
      <w:r>
        <w:rPr/>
        <w:t xml:space="preserve">Несоблюдение формы договора продажи недвижимости влечет его недействительность.</w:t>
      </w:r>
    </w:p>
    <w:p>
      <w:pPr/>
      <w:r>
        <w:rPr/>
        <w:t xml:space="preserve">В соответствии с ч.1 ст.551 Гражданского кодекса РФ, переход права собственности на недвижимость по договору продажи недвижимости к покупателю подлежит государственной регистрации.</w:t>
      </w:r>
    </w:p>
    <w:p>
      <w:pPr/>
      <w:r>
        <w:rPr/>
        <w:t xml:space="preserve">Необходимо отметить, что ВАС разъяснил, что до государственной регистрации перехода права собственности покупатель по договору продажи недвижимости, исполненному сторонами, не вправе распоряжаться данным имуществом, поскольку право собственности на это имущество до момента государственной регистрации сохраняется за продавцом. После передачи недвижимого имущества покупателю, но до государственной регистрации перехода права собственности, продавец также не вправе им распоряжаться, поскольку указанное имущество служит предметом исполненного продавцом обязательства, возникшего из договора продажи, а покупатель является его законным владельцем (п.14 Постановления ВАС N 8).</w:t>
      </w:r>
    </w:p>
    <w:p>
      <w:pPr/>
      <w:r>
        <w:rPr/>
        <w:t xml:space="preserve">Из условия задачи не ясно, что значит: «истец продал строение предпринимателю». Ведь продал – это передал имущество и получил за это деньги. Но деньги видимо, получены не были, но при этом был подписан договор купли-продажи и передан предпринимателю. Мне кажется так. В таком случае, до момента государственной регистрации строение остается собственностью АО. Оно имеет право в рамках договора купли-продажи потребовать оплаты за строение или расторгнуть договор.</w:t>
      </w:r>
    </w:p>
    <w:p>
      <w:pPr/>
      <w:r>
        <w:rPr/>
        <w:t xml:space="preserve">Таким образом, Арбитражный суд верно отказал в иске акционерному обществу.</w:t>
      </w:r>
    </w:p>
    <w:p>
      <w:pPr/>
    </w:p>
    <w:p/>
    <w:p>
      <w:pPr/>
      <w:r>
        <w:rPr/>
        <w:t xml:space="preserve">Собеседование</w:t>
      </w:r>
    </w:p>
    <w:p>
      <w:pPr/>
      <w:r>
        <w:rPr>
          <w:b w:val="1"/>
          <w:bCs w:val="1"/>
          <w:i w:val="1"/>
          <w:iCs w:val="1"/>
        </w:rPr>
        <w:t xml:space="preserve">Перечень вопросов:</w:t>
      </w:r>
    </w:p>
    <w:p>
      <w:pPr>
        <w:numPr>
          <w:ilvl w:val="0"/>
          <w:numId w:val="1"/>
        </w:numPr>
      </w:pPr>
      <w:r>
        <w:rPr/>
        <w:t xml:space="preserve">Гражданское право России как проявление романо-германской правовой системы.</w:t>
      </w:r>
    </w:p>
    <w:p>
      <w:pPr>
        <w:numPr>
          <w:ilvl w:val="0"/>
          <w:numId w:val="1"/>
        </w:numPr>
      </w:pPr>
      <w:r>
        <w:rPr/>
        <w:t xml:space="preserve">Особенности предмета и метода гражданского права.</w:t>
      </w:r>
    </w:p>
    <w:p>
      <w:pPr>
        <w:numPr>
          <w:ilvl w:val="0"/>
          <w:numId w:val="1"/>
        </w:numPr>
      </w:pPr>
      <w:r>
        <w:rPr/>
        <w:t xml:space="preserve">Соотношение общеправовых и гражданско-правовых принципов и функций.</w:t>
      </w:r>
    </w:p>
    <w:p>
      <w:pPr>
        <w:numPr>
          <w:ilvl w:val="0"/>
          <w:numId w:val="1"/>
        </w:numPr>
      </w:pPr>
      <w:r>
        <w:rPr/>
        <w:t xml:space="preserve">Фидуциарные отношения в гражданском праве.</w:t>
      </w:r>
    </w:p>
    <w:p>
      <w:pPr>
        <w:numPr>
          <w:ilvl w:val="0"/>
          <w:numId w:val="1"/>
        </w:numPr>
      </w:pPr>
      <w:r>
        <w:rPr/>
        <w:t xml:space="preserve">Соотношение институтов гражданского материального и процессуального права.</w:t>
      </w:r>
    </w:p>
    <w:p>
      <w:pPr>
        <w:numPr>
          <w:ilvl w:val="0"/>
          <w:numId w:val="1"/>
        </w:numPr>
      </w:pPr>
      <w:r>
        <w:rPr/>
        <w:t xml:space="preserve">Гражданско-правовое регулирование земельных отношений.</w:t>
      </w:r>
    </w:p>
    <w:p>
      <w:pPr>
        <w:numPr>
          <w:ilvl w:val="0"/>
          <w:numId w:val="1"/>
        </w:numPr>
      </w:pPr>
      <w:r>
        <w:rPr/>
        <w:t xml:space="preserve">Особенности англо-саксонской гражданско-правовой системы.</w:t>
      </w:r>
    </w:p>
    <w:p>
      <w:pPr>
        <w:numPr>
          <w:ilvl w:val="0"/>
          <w:numId w:val="1"/>
        </w:numPr>
      </w:pPr>
      <w:r>
        <w:rPr/>
        <w:t xml:space="preserve">Особенности действия и применения гражданского законодательства.</w:t>
      </w:r>
    </w:p>
    <w:p>
      <w:pPr>
        <w:numPr>
          <w:ilvl w:val="0"/>
          <w:numId w:val="1"/>
        </w:numPr>
      </w:pPr>
      <w:r>
        <w:rPr/>
        <w:t xml:space="preserve">Субъекты толкования гражданско-правовых норм.</w:t>
      </w:r>
    </w:p>
    <w:p>
      <w:pPr>
        <w:numPr>
          <w:ilvl w:val="0"/>
          <w:numId w:val="1"/>
        </w:numPr>
      </w:pPr>
      <w:r>
        <w:rPr/>
        <w:t xml:space="preserve">Корпоративные правовые нормы и гражданское право.</w:t>
      </w:r>
    </w:p>
    <w:p>
      <w:pPr>
        <w:numPr>
          <w:ilvl w:val="0"/>
          <w:numId w:val="1"/>
        </w:numPr>
      </w:pPr>
      <w:r>
        <w:rPr/>
        <w:t xml:space="preserve">Деловые обыкновения и обычаи делового оборота в российском гражданском праве.</w:t>
      </w:r>
    </w:p>
    <w:p>
      <w:pPr>
        <w:numPr>
          <w:ilvl w:val="0"/>
          <w:numId w:val="1"/>
        </w:numPr>
      </w:pPr>
      <w:r>
        <w:rPr/>
        <w:t xml:space="preserve">Основания возникновения, изменения и прекращения гражданских правоотношений.</w:t>
      </w:r>
    </w:p>
    <w:p>
      <w:pPr>
        <w:numPr>
          <w:ilvl w:val="0"/>
          <w:numId w:val="1"/>
        </w:numPr>
      </w:pPr>
      <w:r>
        <w:rPr/>
        <w:t xml:space="preserve">Диспозитивность гражданского права.</w:t>
      </w:r>
    </w:p>
    <w:p>
      <w:pPr>
        <w:numPr>
          <w:ilvl w:val="0"/>
          <w:numId w:val="1"/>
        </w:numPr>
      </w:pPr>
      <w:r>
        <w:rPr/>
        <w:t xml:space="preserve">Субъекты гражданских правоотношений.</w:t>
      </w:r>
    </w:p>
    <w:p>
      <w:pPr>
        <w:numPr>
          <w:ilvl w:val="0"/>
          <w:numId w:val="1"/>
        </w:numPr>
      </w:pPr>
      <w:r>
        <w:rPr/>
        <w:t xml:space="preserve">Объект гражданского правоотношения.</w:t>
      </w:r>
    </w:p>
    <w:p>
      <w:pPr>
        <w:numPr>
          <w:ilvl w:val="0"/>
          <w:numId w:val="1"/>
        </w:numPr>
      </w:pPr>
      <w:r>
        <w:rPr/>
        <w:t xml:space="preserve">Правосубъектность граждан (физических лиц).</w:t>
      </w:r>
    </w:p>
    <w:p>
      <w:pPr>
        <w:numPr>
          <w:ilvl w:val="0"/>
          <w:numId w:val="1"/>
        </w:numPr>
      </w:pPr>
      <w:r>
        <w:rPr/>
        <w:t xml:space="preserve">Особенности несостоятельности крестьянского (фермерского) хозяйства.</w:t>
      </w:r>
    </w:p>
    <w:p>
      <w:pPr>
        <w:numPr>
          <w:ilvl w:val="0"/>
          <w:numId w:val="1"/>
        </w:numPr>
      </w:pPr>
      <w:r>
        <w:rPr/>
        <w:t xml:space="preserve">Осуществление опеки и попечительства (патронажа) в отношении граждан.</w:t>
      </w:r>
    </w:p>
    <w:p>
      <w:pPr>
        <w:numPr>
          <w:ilvl w:val="0"/>
          <w:numId w:val="1"/>
        </w:numPr>
      </w:pPr>
      <w:r>
        <w:rPr/>
        <w:t xml:space="preserve">Средства индивидуализации физических лиц.</w:t>
      </w:r>
    </w:p>
    <w:p>
      <w:pPr>
        <w:numPr>
          <w:ilvl w:val="0"/>
          <w:numId w:val="1"/>
        </w:numPr>
      </w:pPr>
      <w:r>
        <w:rPr/>
        <w:t xml:space="preserve">Акты гражданского состояния.</w:t>
      </w:r>
    </w:p>
    <w:p>
      <w:pPr>
        <w:numPr>
          <w:ilvl w:val="0"/>
          <w:numId w:val="1"/>
        </w:numPr>
      </w:pPr>
      <w:r>
        <w:rPr/>
        <w:t xml:space="preserve">Проблема правосубъектности юридического лица.</w:t>
      </w:r>
    </w:p>
    <w:p>
      <w:pPr>
        <w:numPr>
          <w:ilvl w:val="0"/>
          <w:numId w:val="1"/>
        </w:numPr>
      </w:pPr>
      <w:r>
        <w:rPr/>
        <w:t xml:space="preserve">Правовой статус обособленных подразделений юридического липа (филиалов и представительств)</w:t>
      </w:r>
    </w:p>
    <w:p>
      <w:pPr>
        <w:numPr>
          <w:ilvl w:val="0"/>
          <w:numId w:val="1"/>
        </w:numPr>
      </w:pPr>
      <w:r>
        <w:rPr/>
        <w:t xml:space="preserve">Индивидуализация юридического лица и результатов его деятельности.</w:t>
      </w:r>
    </w:p>
    <w:p>
      <w:pPr>
        <w:numPr>
          <w:ilvl w:val="0"/>
          <w:numId w:val="1"/>
        </w:numPr>
      </w:pPr>
      <w:r>
        <w:rPr/>
        <w:t xml:space="preserve">Органы юридического лица</w:t>
      </w:r>
    </w:p>
    <w:p>
      <w:pPr>
        <w:numPr>
          <w:ilvl w:val="0"/>
          <w:numId w:val="1"/>
        </w:numPr>
      </w:pPr>
      <w:r>
        <w:rPr/>
        <w:t xml:space="preserve">Преимущества и недостатки Общества с дополнительной ответственностью.</w:t>
      </w:r>
    </w:p>
    <w:p>
      <w:pPr>
        <w:numPr>
          <w:ilvl w:val="0"/>
          <w:numId w:val="1"/>
        </w:numPr>
      </w:pPr>
      <w:r>
        <w:rPr/>
        <w:t xml:space="preserve">Особенности правового статуса и осуществления деятельности акционерного общества.</w:t>
      </w:r>
    </w:p>
    <w:p>
      <w:pPr>
        <w:numPr>
          <w:ilvl w:val="0"/>
          <w:numId w:val="1"/>
        </w:numPr>
      </w:pPr>
      <w:r>
        <w:rPr/>
        <w:t xml:space="preserve">Особенности правового статуса и осуществления деятельности публичного акционерного общества</w:t>
      </w:r>
    </w:p>
    <w:p>
      <w:pPr>
        <w:numPr>
          <w:ilvl w:val="0"/>
          <w:numId w:val="1"/>
        </w:numPr>
      </w:pPr>
      <w:r>
        <w:rPr/>
        <w:t xml:space="preserve">Возникновение и прекращение государственных и муниципальных унитарных предприятий.</w:t>
      </w:r>
    </w:p>
    <w:p>
      <w:pPr>
        <w:numPr>
          <w:ilvl w:val="0"/>
          <w:numId w:val="1"/>
        </w:numPr>
      </w:pPr>
      <w:r>
        <w:rPr/>
        <w:t xml:space="preserve">Наблюдение как процедура несостоятельности.</w:t>
      </w:r>
    </w:p>
    <w:p>
      <w:pPr>
        <w:numPr>
          <w:ilvl w:val="0"/>
          <w:numId w:val="1"/>
        </w:numPr>
      </w:pPr>
      <w:r>
        <w:rPr/>
        <w:t xml:space="preserve">Внешнее управление как процедура несостоятельности.</w:t>
      </w:r>
    </w:p>
    <w:p>
      <w:pPr>
        <w:numPr>
          <w:ilvl w:val="0"/>
          <w:numId w:val="1"/>
        </w:numPr>
      </w:pPr>
      <w:r>
        <w:rPr/>
        <w:t xml:space="preserve">Добровольное объявление о несостоятельности должника.</w:t>
      </w:r>
    </w:p>
    <w:p>
      <w:pPr>
        <w:numPr>
          <w:ilvl w:val="0"/>
          <w:numId w:val="1"/>
        </w:numPr>
      </w:pPr>
      <w:r>
        <w:rPr/>
        <w:t xml:space="preserve">Особенности несостоятельности субъектов естественных монополий топливно-энергетического комплекса.</w:t>
      </w:r>
    </w:p>
    <w:p>
      <w:pPr>
        <w:numPr>
          <w:ilvl w:val="0"/>
          <w:numId w:val="1"/>
        </w:numPr>
      </w:pPr>
      <w:r>
        <w:rPr/>
        <w:t xml:space="preserve">Публично-правовые образования как субъекты гражданских правоотношений.</w:t>
      </w:r>
    </w:p>
    <w:p>
      <w:pPr>
        <w:numPr>
          <w:ilvl w:val="0"/>
          <w:numId w:val="1"/>
        </w:numPr>
      </w:pPr>
      <w:r>
        <w:rPr/>
        <w:t xml:space="preserve">Объекты, изъятые из гражданского оборота и ограниченные в обороте.</w:t>
      </w:r>
    </w:p>
    <w:p>
      <w:pPr>
        <w:numPr>
          <w:ilvl w:val="0"/>
          <w:numId w:val="1"/>
        </w:numPr>
      </w:pPr>
      <w:r>
        <w:rPr/>
        <w:t xml:space="preserve">Товарные ценные бумаги.</w:t>
      </w:r>
    </w:p>
    <w:p>
      <w:pPr>
        <w:numPr>
          <w:ilvl w:val="0"/>
          <w:numId w:val="1"/>
        </w:numPr>
      </w:pPr>
      <w:r>
        <w:rPr/>
        <w:t xml:space="preserve">Ценные бумаги как объекты гражданских прав (на примере...).</w:t>
      </w:r>
    </w:p>
    <w:p>
      <w:pPr>
        <w:numPr>
          <w:ilvl w:val="0"/>
          <w:numId w:val="1"/>
        </w:numPr>
      </w:pPr>
      <w:r>
        <w:rPr/>
        <w:t xml:space="preserve">Вексельные правоотношения в России.</w:t>
      </w:r>
    </w:p>
    <w:p>
      <w:pPr>
        <w:numPr>
          <w:ilvl w:val="0"/>
          <w:numId w:val="1"/>
        </w:numPr>
      </w:pPr>
      <w:r>
        <w:rPr/>
        <w:t xml:space="preserve">Работы и услуги как объекты гражданских прав.</w:t>
      </w:r>
    </w:p>
    <w:p>
      <w:pPr>
        <w:numPr>
          <w:ilvl w:val="0"/>
          <w:numId w:val="1"/>
        </w:numPr>
      </w:pPr>
      <w:r>
        <w:rPr/>
        <w:t xml:space="preserve">Информация как объект гражданских прав.</w:t>
      </w:r>
    </w:p>
    <w:p>
      <w:pPr>
        <w:numPr>
          <w:ilvl w:val="0"/>
          <w:numId w:val="1"/>
        </w:numPr>
      </w:pPr>
      <w:r>
        <w:rPr/>
        <w:t xml:space="preserve">Нотариально удостоверенные сделки в российском праве.</w:t>
      </w:r>
    </w:p>
    <w:p>
      <w:pPr>
        <w:numPr>
          <w:ilvl w:val="0"/>
          <w:numId w:val="1"/>
        </w:numPr>
      </w:pPr>
      <w:r>
        <w:rPr/>
        <w:t xml:space="preserve">Соотношение институтов «Недействительность сделок» и «Расторжение договора».</w:t>
      </w:r>
    </w:p>
    <w:p>
      <w:pPr>
        <w:numPr>
          <w:ilvl w:val="0"/>
          <w:numId w:val="1"/>
        </w:numPr>
      </w:pPr>
      <w:r>
        <w:rPr/>
        <w:t xml:space="preserve">Ничтожные сделки в гражданском праве.</w:t>
      </w:r>
    </w:p>
    <w:p>
      <w:pPr>
        <w:numPr>
          <w:ilvl w:val="0"/>
          <w:numId w:val="1"/>
        </w:numPr>
      </w:pPr>
      <w:r>
        <w:rPr/>
        <w:t xml:space="preserve">Доверенность – документ или сделка?</w:t>
      </w:r>
    </w:p>
    <w:p>
      <w:pPr>
        <w:numPr>
          <w:ilvl w:val="0"/>
          <w:numId w:val="1"/>
        </w:numPr>
      </w:pPr>
      <w:r>
        <w:rPr/>
        <w:t xml:space="preserve">Использование института коммерческого представительства в предпринимательской деятельности.</w:t>
      </w:r>
    </w:p>
    <w:p>
      <w:pPr>
        <w:numPr>
          <w:ilvl w:val="0"/>
          <w:numId w:val="1"/>
        </w:numPr>
      </w:pPr>
      <w:r>
        <w:rPr/>
        <w:t xml:space="preserve">Законное представительство в гражданско-правовых отношениях.</w:t>
      </w:r>
    </w:p>
    <w:p>
      <w:pPr>
        <w:numPr>
          <w:ilvl w:val="0"/>
          <w:numId w:val="1"/>
        </w:numPr>
      </w:pPr>
      <w:r>
        <w:rPr/>
        <w:t xml:space="preserve">Давностные сроки в гражданском праве.</w:t>
      </w:r>
    </w:p>
    <w:p>
      <w:pPr>
        <w:numPr>
          <w:ilvl w:val="0"/>
          <w:numId w:val="1"/>
        </w:numPr>
      </w:pPr>
      <w:r>
        <w:rPr/>
        <w:t xml:space="preserve">Специальные сроки исковой давности в гражданском праве.</w:t>
      </w:r>
    </w:p>
    <w:p>
      <w:pPr>
        <w:numPr>
          <w:ilvl w:val="0"/>
          <w:numId w:val="1"/>
        </w:numPr>
      </w:pPr>
      <w:r>
        <w:rPr/>
        <w:t xml:space="preserve">Юрисдикционная форма защиты гражданских прав.</w:t>
      </w:r>
    </w:p>
    <w:p>
      <w:pPr>
        <w:numPr>
          <w:ilvl w:val="0"/>
          <w:numId w:val="1"/>
        </w:numPr>
      </w:pPr>
      <w:r>
        <w:rPr/>
        <w:t xml:space="preserve">Самозащита гражданских прав</w:t>
      </w:r>
    </w:p>
    <w:p>
      <w:pPr>
        <w:numPr>
          <w:ilvl w:val="0"/>
          <w:numId w:val="1"/>
        </w:numPr>
      </w:pPr>
      <w:r>
        <w:rPr/>
        <w:t xml:space="preserve">Концепции причинной связи в гражданско-правовых деликтах.</w:t>
      </w:r>
    </w:p>
    <w:p>
      <w:pPr>
        <w:numPr>
          <w:ilvl w:val="0"/>
          <w:numId w:val="1"/>
        </w:numPr>
      </w:pPr>
      <w:r>
        <w:rPr/>
        <w:t xml:space="preserve">Ответственность без вины и независимо от вины в российском гражданском праве.</w:t>
      </w:r>
    </w:p>
    <w:p>
      <w:pPr>
        <w:numPr>
          <w:ilvl w:val="0"/>
          <w:numId w:val="1"/>
        </w:numPr>
      </w:pPr>
      <w:r>
        <w:rPr/>
        <w:t xml:space="preserve">Гражданско-правовая ответственность за неисполнение денежного обязательства.</w:t>
      </w:r>
    </w:p>
    <w:p>
      <w:pPr>
        <w:numPr>
          <w:ilvl w:val="0"/>
          <w:numId w:val="1"/>
        </w:numPr>
      </w:pPr>
      <w:r>
        <w:rPr/>
        <w:t xml:space="preserve">Ответственность за вред, причиненный источником повышенной опасности.</w:t>
      </w:r>
    </w:p>
    <w:p>
      <w:pPr>
        <w:numPr>
          <w:ilvl w:val="0"/>
          <w:numId w:val="1"/>
        </w:numPr>
      </w:pPr>
      <w:r>
        <w:rPr/>
        <w:t xml:space="preserve">Возмещение вреда, причиненного гражданам и юридическим лицам при осуществлении правосудия.</w:t>
      </w:r>
    </w:p>
    <w:p>
      <w:pPr>
        <w:numPr>
          <w:ilvl w:val="0"/>
          <w:numId w:val="1"/>
        </w:numPr>
      </w:pPr>
      <w:r>
        <w:rPr/>
        <w:t xml:space="preserve">Возмещение вреда, причиненного при проведении оперативно-розыскных мероприятий и следственных действий.</w:t>
      </w:r>
    </w:p>
    <w:p>
      <w:pPr>
        <w:numPr>
          <w:ilvl w:val="0"/>
          <w:numId w:val="1"/>
        </w:numPr>
      </w:pPr>
      <w:r>
        <w:rPr/>
        <w:t xml:space="preserve">Собственность – экономическая или правовая категория?</w:t>
      </w:r>
    </w:p>
    <w:p>
      <w:pPr>
        <w:numPr>
          <w:ilvl w:val="0"/>
          <w:numId w:val="1"/>
        </w:numPr>
      </w:pPr>
      <w:r>
        <w:rPr/>
        <w:t xml:space="preserve">Система способов приобретения права собственности.</w:t>
      </w:r>
    </w:p>
    <w:p>
      <w:pPr>
        <w:numPr>
          <w:ilvl w:val="0"/>
          <w:numId w:val="1"/>
        </w:numPr>
      </w:pPr>
      <w:r>
        <w:rPr/>
        <w:t xml:space="preserve">Вещные права лиц, не являющихся собственниками.</w:t>
      </w:r>
    </w:p>
    <w:p>
      <w:pPr>
        <w:numPr>
          <w:ilvl w:val="0"/>
          <w:numId w:val="1"/>
        </w:numPr>
      </w:pPr>
      <w:r>
        <w:rPr/>
        <w:t xml:space="preserve">Право хозяйственного ведения и оперативного управления.</w:t>
      </w:r>
    </w:p>
    <w:p>
      <w:pPr>
        <w:numPr>
          <w:ilvl w:val="0"/>
          <w:numId w:val="1"/>
        </w:numPr>
      </w:pPr>
      <w:r>
        <w:rPr/>
        <w:t xml:space="preserve">Договорный режим имущества супругов.</w:t>
      </w:r>
    </w:p>
    <w:p>
      <w:pPr>
        <w:numPr>
          <w:ilvl w:val="0"/>
          <w:numId w:val="1"/>
        </w:numPr>
      </w:pPr>
      <w:r>
        <w:rPr/>
        <w:t xml:space="preserve">Понятие и система гражданско-правовых способов зашиты права собственности.</w:t>
      </w:r>
    </w:p>
    <w:p>
      <w:pPr>
        <w:numPr>
          <w:ilvl w:val="0"/>
          <w:numId w:val="1"/>
        </w:numPr>
      </w:pPr>
      <w:r>
        <w:rPr/>
        <w:t xml:space="preserve">Защита прав владельца, не являющегося собственником.</w:t>
      </w:r>
    </w:p>
    <w:p>
      <w:pPr>
        <w:numPr>
          <w:ilvl w:val="0"/>
          <w:numId w:val="1"/>
        </w:numPr>
      </w:pPr>
      <w:r>
        <w:rPr/>
        <w:t xml:space="preserve">Понятие и значение подотрасли наследственного права.</w:t>
      </w:r>
    </w:p>
    <w:p>
      <w:pPr>
        <w:numPr>
          <w:ilvl w:val="0"/>
          <w:numId w:val="1"/>
        </w:numPr>
      </w:pPr>
      <w:r>
        <w:rPr/>
        <w:t xml:space="preserve">Осуществление и оформление наследственных прав.</w:t>
      </w:r>
    </w:p>
    <w:p>
      <w:pPr>
        <w:numPr>
          <w:ilvl w:val="0"/>
          <w:numId w:val="1"/>
        </w:numPr>
      </w:pPr>
      <w:r>
        <w:rPr/>
        <w:t xml:space="preserve">Субъекты и объекты авторского права.</w:t>
      </w:r>
    </w:p>
    <w:p>
      <w:pPr>
        <w:numPr>
          <w:ilvl w:val="0"/>
          <w:numId w:val="1"/>
        </w:numPr>
      </w:pPr>
      <w:r>
        <w:rPr/>
        <w:t xml:space="preserve">Особенности заключения авторских договоров.</w:t>
      </w:r>
    </w:p>
    <w:p>
      <w:pPr>
        <w:numPr>
          <w:ilvl w:val="0"/>
          <w:numId w:val="1"/>
        </w:numPr>
      </w:pPr>
      <w:r>
        <w:rPr/>
        <w:t xml:space="preserve">Защита прав авторов и патентообладателей.</w:t>
      </w:r>
    </w:p>
    <w:p>
      <w:pPr>
        <w:numPr>
          <w:ilvl w:val="0"/>
          <w:numId w:val="1"/>
        </w:numPr>
      </w:pPr>
      <w:r>
        <w:rPr/>
        <w:t xml:space="preserve">Интеллектуальная собственность и ее охрана по российскому законодательству.</w:t>
      </w:r>
    </w:p>
    <w:p>
      <w:pPr>
        <w:numPr>
          <w:ilvl w:val="0"/>
          <w:numId w:val="1"/>
        </w:numPr>
      </w:pPr>
      <w:r>
        <w:rPr/>
        <w:t xml:space="preserve">Обязательства по использованию результатов творческой деятельности.</w:t>
      </w:r>
    </w:p>
    <w:p>
      <w:pPr>
        <w:numPr>
          <w:ilvl w:val="0"/>
          <w:numId w:val="1"/>
        </w:numPr>
      </w:pPr>
      <w:r>
        <w:rPr/>
        <w:t xml:space="preserve">Виды и основания возникновения обязательств в гражданском праве.</w:t>
      </w:r>
    </w:p>
    <w:p>
      <w:pPr>
        <w:numPr>
          <w:ilvl w:val="0"/>
          <w:numId w:val="1"/>
        </w:numPr>
      </w:pPr>
      <w:r>
        <w:rPr/>
        <w:t xml:space="preserve">Разграничение вещных и обязательственных правоотношений.</w:t>
      </w:r>
    </w:p>
    <w:p>
      <w:pPr>
        <w:numPr>
          <w:ilvl w:val="0"/>
          <w:numId w:val="1"/>
        </w:numPr>
      </w:pPr>
      <w:r>
        <w:rPr/>
        <w:t xml:space="preserve">Заключение и изменение договоров.</w:t>
      </w:r>
    </w:p>
    <w:p>
      <w:pPr>
        <w:numPr>
          <w:ilvl w:val="0"/>
          <w:numId w:val="1"/>
        </w:numPr>
      </w:pPr>
      <w:r>
        <w:rPr/>
        <w:t xml:space="preserve">Реализация принципа свободы договора в правоприменительной практике.</w:t>
      </w:r>
    </w:p>
    <w:p>
      <w:pPr>
        <w:numPr>
          <w:ilvl w:val="0"/>
          <w:numId w:val="1"/>
        </w:numPr>
      </w:pPr>
      <w:r>
        <w:rPr/>
        <w:t xml:space="preserve">Договоры в пользу третьего лица.</w:t>
      </w:r>
    </w:p>
    <w:p>
      <w:pPr>
        <w:numPr>
          <w:ilvl w:val="0"/>
          <w:numId w:val="1"/>
        </w:numPr>
      </w:pPr>
      <w:r>
        <w:rPr/>
        <w:t xml:space="preserve">Договор присоединения.</w:t>
      </w:r>
    </w:p>
    <w:p>
      <w:pPr>
        <w:numPr>
          <w:ilvl w:val="0"/>
          <w:numId w:val="1"/>
        </w:numPr>
      </w:pPr>
      <w:r>
        <w:rPr/>
        <w:t xml:space="preserve">Типовые и примерные договоры.</w:t>
      </w:r>
    </w:p>
    <w:p>
      <w:pPr>
        <w:numPr>
          <w:ilvl w:val="0"/>
          <w:numId w:val="1"/>
        </w:numPr>
      </w:pPr>
      <w:r>
        <w:rPr/>
        <w:t xml:space="preserve">Понятие и принципы исполнения обязательств.</w:t>
      </w:r>
    </w:p>
    <w:p>
      <w:pPr>
        <w:numPr>
          <w:ilvl w:val="0"/>
          <w:numId w:val="1"/>
        </w:numPr>
      </w:pPr>
      <w:r>
        <w:rPr/>
        <w:t xml:space="preserve">Законные неустойки в российском гражданском праве.</w:t>
      </w:r>
    </w:p>
    <w:p>
      <w:pPr>
        <w:numPr>
          <w:ilvl w:val="0"/>
          <w:numId w:val="1"/>
        </w:numPr>
      </w:pPr>
      <w:r>
        <w:rPr/>
        <w:t xml:space="preserve">3алог как вещно-обязательственный правовой институт.</w:t>
      </w:r>
    </w:p>
    <w:p>
      <w:pPr>
        <w:numPr>
          <w:ilvl w:val="0"/>
          <w:numId w:val="1"/>
        </w:numPr>
      </w:pPr>
      <w:r>
        <w:rPr/>
        <w:t xml:space="preserve">Особенности залога недвижимости (ипотеки).</w:t>
      </w:r>
    </w:p>
    <w:p>
      <w:pPr>
        <w:numPr>
          <w:ilvl w:val="0"/>
          <w:numId w:val="1"/>
        </w:numPr>
      </w:pPr>
      <w:r>
        <w:rPr/>
        <w:t xml:space="preserve">Удержание как способ обеспечения исполнения обязательств.</w:t>
      </w:r>
    </w:p>
    <w:p>
      <w:pPr>
        <w:numPr>
          <w:ilvl w:val="0"/>
          <w:numId w:val="1"/>
        </w:numPr>
      </w:pPr>
      <w:r>
        <w:rPr/>
        <w:t xml:space="preserve">Независимая гарантия как способ обеспечения исполнения обязательств.</w:t>
      </w:r>
    </w:p>
    <w:p/>
    <w:p>
      <w:pPr/>
      <w:r>
        <w:rPr/>
        <w:t xml:space="preserve">5.2. Промежуточная аттестация проводится в виде:</w:t>
      </w:r>
    </w:p>
    <w:p/>
    <w:p>
      <w:pPr/>
      <w:r>
        <w:rPr/>
        <w:t xml:space="preserve">Зачет</w:t>
      </w:r>
    </w:p>
    <w:p>
      <w:pPr/>
      <w:r>
        <w:rPr/>
        <w:t xml:space="preserve">Обучающемуся ставится зачет по результатам текущей аттестации: решение двух контрольных работ, собеседование по одной из предложенных тем, при отсутствии на занятиях по неуважительной причине студенту кроме решения двух контрольных работ и собеседования для получения зачета необходимо ответить на 2 дополнительных вопроса из вопросов для собеседования.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рекомендуется посещать лекции и практические занятия, регулярно заниматься самостоятельно.</w:t>
      </w:r>
    </w:p>
    <w:p>
      <w:pPr/>
      <w:r>
        <w:rPr/>
        <w:t xml:space="preserve">Самостоятельная работа обучающихся включает:</w:t>
      </w:r>
    </w:p>
    <w:p>
      <w:pPr>
        <w:numPr>
          <w:ilvl w:val="0"/>
          <w:numId w:val="2"/>
        </w:numPr>
      </w:pPr>
      <w:r>
        <w:rPr/>
        <w:t xml:space="preserve">выполнение домашней контрольной работы;</w:t>
      </w:r>
    </w:p>
    <w:p>
      <w:pPr>
        <w:numPr>
          <w:ilvl w:val="0"/>
          <w:numId w:val="2"/>
        </w:numPr>
      </w:pPr>
      <w:r>
        <w:rPr/>
        <w:t xml:space="preserve">подготовку к зачету, экзамену, подготовка курсовой работы;</w:t>
      </w:r>
    </w:p>
    <w:p>
      <w:pPr>
        <w:numPr>
          <w:ilvl w:val="0"/>
          <w:numId w:val="2"/>
        </w:numPr>
      </w:pPr>
      <w:r>
        <w:rPr/>
        <w:t xml:space="preserve">работу с обязательной и дополнительной литературой, информационными ресурсами.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w:t>
      </w:r>
    </w:p>
    <w:p>
      <w:pPr/>
      <w:r>
        <w:rPr>
          <w:i w:val="1"/>
          <w:iCs w:val="1"/>
        </w:rPr>
        <w:t xml:space="preserve">Лекционный курс</w:t>
      </w:r>
      <w:r>
        <w:rPr/>
        <w:t xml:space="preserve">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i w:val="1"/>
          <w:iCs w:val="1"/>
        </w:rPr>
        <w:t xml:space="preserve">Семинарские (практические) занятия</w:t>
      </w:r>
      <w:r>
        <w:rPr/>
        <w:t xml:space="preserve">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семестра необходимо довести до обучающихся требования для получения зачета, график предоставления выполненных индивидуальных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t xml:space="preserve">Российское гражданское право : учебник для студентов вузов, обучающихся по направлению "Юриспруденция" и специальности "Юриспруденция" / [В. В. Витрянский [и др.] ; отв. ред. Е. А. Суханов ; Московский гос. ун-т, Юридический факультет. Кафедра гражданского права. - Москва : СТАТУТ, 2010.</w:t>
      </w:r>
    </w:p>
    <w:p>
      <w:pPr>
        <w:jc w:val="both"/>
        <w:ind w:left="0" w:right="0" w:firstLine="570" w:hanging="0"/>
        <w:spacing w:before="240" w:after="240"/>
      </w:pPr>
      <w:r>
        <w:rPr>
          <w:b w:val="1"/>
          <w:bCs w:val="1"/>
        </w:rPr>
        <w:t xml:space="preserve">8.2. Дополнительная литература:</w:t>
      </w:r>
    </w:p>
    <w:p>
      <w:pPr>
        <w:numPr>
          <w:ilvl w:val="0"/>
          <w:numId w:val="4"/>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 отв. ред. В. С. Ем, Н. В. Козлова, Ч. 1 / [Алферьева М. В. [и др.]. - 4-е изд., стер. - Москва :Статут, 2014 - 379 с.</w:t>
      </w:r>
    </w:p>
    <w:p>
      <w:pPr>
        <w:numPr>
          <w:ilvl w:val="0"/>
          <w:numId w:val="4"/>
        </w:numPr>
      </w:pPr>
      <w:r>
        <w:rPr/>
        <w:t xml:space="preserve">Сборник задач по гражданскому праву : учебно-методическое пособие : учебное пособие для студентов вузов, обучающихся по направлению "Юриспруденция" и специальности "Юриспруденция" / Моск. гос. ун-т им. М. В. Ломоносова, Юрид. фак., Каф. гражд. права ;отв. ред. В. С. Ем, Н. В. Козлова, Ч. 2 / [Асосков А. В. [и др.]. - 2-е изд., стер. - Москва :Статут, 2012 - 495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Нет.</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"Акционерное право": платформа moodle2.petrsu.ru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A82F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82F6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6C0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EF1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64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2026-04-23T21:01:24+03:00</dcterms:created>
  <dcterms:modified xsi:type="dcterms:W3CDTF">2026-04-23T21:01:24+03:00</dcterms:modified>
</cp:coreProperties>
</file>

<file path=docProps/custom.xml><?xml version="1.0" encoding="utf-8"?>
<Properties xmlns="http://schemas.openxmlformats.org/officeDocument/2006/custom-properties" xmlns:vt="http://schemas.openxmlformats.org/officeDocument/2006/docPropsVTypes"/>
</file>