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2021-2024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/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ОБЕСПЕЧЕНИЕ ПРАВ УЧАСТНИКОВ ГРАЖДАНСКО-ПРАВОВЫХ ОТНОШЕНИЙ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магистратуры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40.04.01 Юриспруденция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Магистерская программа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«Прикладная юриспруденция»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25.11.2020 г. № 1451 и учебным планом по направлению подготовки магистратуры 40.04.01 Юриспруденция  (профиль «Прикладная юриспруденция»).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Пальцева Елена Сергеевна, доцент, кафедра публичного и частного права; куратор деятельности студентов в Юридической клинике ПетрГУ, юридическая клиника, кандидат юридических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магистратуры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давать квалифицированные юридические консультации в конкретных сферах юридической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Знает специфику и методику осуществления консультирования в конкретных сферах юридической деятельности; </w:t>
            </w:r>
          </w:p>
          <w:p/>
          <w:p>
            <w:pPr/>
            <w:r>
              <w:rPr/>
              <w:t xml:space="preserve">ПК-4.2. Дает квалифицированные  консультации в конкретных сферах юридической деятельности;</w:t>
            </w:r>
          </w:p>
          <w:p/>
          <w:p>
            <w:pPr/>
            <w:r>
              <w:rPr/>
              <w:t xml:space="preserve">ПК-4.3. Владеет навыками правового консультирования в конкретных сферах юридической деятельности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ПК-8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мероприятия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ПК-8.1. Знает порядок и правила получения юридически значимой информации для использования ее в интересах расследования преступлений;</w:t>
            </w:r>
          </w:p>
          <w:p/>
          <w:p>
            <w:pPr/>
            <w:r>
              <w:rPr/>
              <w:t xml:space="preserve">ПК-8.2. Проводит мероприятия по получению юридически значимой информации, анализу, проверке, оценке и использовании ее в интересах расследования преступлений;</w:t>
            </w:r>
          </w:p>
          <w:p/>
          <w:p>
            <w:pPr/>
            <w:r>
              <w:rPr/>
              <w:t xml:space="preserve">ПК-8.3. Владеет навыками проведения мероприятий  по получению юридически значимой информации, анализу, проверке, оценке и использовании ее в интересах расследования преступлений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магистратуры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Обеспечение прав участников гражданско-правовых отношений входит в часть, формируемую участниками образовательных отношений учебного плана основной образовательной программы магистратуры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2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экзамен.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96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Неустойка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Залог как способ обеспечения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Общее положения об обеспечении обязательств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Поручительство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Задаток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экзамен.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Вещная и обязательственная концепция залога. Залог с передачей и без передачи владения залогодержателю. Залог со стороны третьего лица. Ипотека. Залог в силу закона: разновидности по российскому законодательству и правовые проблемы. Порядок регистрации при ее необходимости в силу специфики объекта залога.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способов обеспечения исполнения обязательств и их место в системе гражданского права. Классификации. Способы обеспечения – гарантия исполнения обязательств. Виды обязательств и виды обеспечения. Определение и признаки способов обеспечения. Абсолютная и относительная акцессорность.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Правовая природа договора поручительства. Виды обязательств, обеспечение которых возможно поручительством. Момент, до которого допускается привлечение поручителя. Поручительство и исполнение обязательства третьим лицом. Согласие должника на поручительство. Оформление отношений должника и поручителя. Недобросовестное использование поручительства в целях обхода законодательства: изменение подсудности спора, обход правил о запрете уступки и др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и функции задатка. Неденежный «задаток». Соотношение задатка и аванса. Последствия нарушения обязательства, обеспеченного задатком. Понятие нарушения: соотношение неисполнения и ненадлежащего исполнения. Задаток по предварительному договору. Задаток при публичных торгах. Засчитывание задатка в счет возмещения убытков: проблемы действующего законодательства.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Содержание и сохранность заложенного имущества. Утрата и повреждение предмета залога. Последующий залог, установление баланса интересов участников. Пользование и распоряжение предметом залога. Сохранение залога при переходе права собственности на заложенное имущество (право следования). Защита добросовестного лица в залоговых правоотношениях: добросовестное приобретение права залога, прекращение права залога в случае приобретения вещи добросовестным приобретателем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Объем ответственности поручителя по долгам должника. Особенности солидарной и субсидиарной ответственности поручителя. Обеспечение исполнения обязательств поручителя. Последствия исполнения поручителем обеспечиваемого обязательства: переход прав к должнику, переход прав залогодержателя, проблема перехода прав к другому поручителю, начисление процентов на уплаченную сумму.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2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Понятие неустойки, вопрос о допустимости «товарной неустойки». Неустойка как обязательство. Неустойка как мера ответственности. Вопросы квалификации повышенных процентов в кредитном договоре. Исковая давность по требованиям об уплате неустойки. Виды неустоек: штраф и пени, законная и договорная. Неустойка и исполнение обязательства по частям, недостаточность поступившего платежа для полного исполнения обязательства. Соотношение неустойки с другими мерами ответственности: зачетная, альтернативная, штрафная, исключительная неустойки. Вопросы снижения неустойки судом (ст. 333 ГК РФ). Допустимость снижения неустойки, полученной кредитором путем списания средств в безакцептном порядке, проблемы, связанные с зачетом неустойки.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экзамену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Решение задач по теме залога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Изучение Постановления Пленума Верховного Суда РФ от 24.12.2020 N 45 &amp;quot;О некоторых вопросах разрешения споров о поручительстве&amp;quot;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При преподавании дисциплины «Обеспечение прав участников гражданско-правовых отношений" в учебном процессе используются:</w:t>
      </w:r>
    </w:p>
    <w:p>
      <w:pPr/>
      <w:r>
        <w:rPr/>
        <w:t xml:space="preserve">- аудиторные занятия с использованием мультимедийных технологий;</w:t>
      </w:r>
    </w:p>
    <w:p>
      <w:pPr/>
      <w:r>
        <w:rPr/>
        <w:t xml:space="preserve">- аудиторные занятия с использованием активных и интерактивных форм проведения занятий: разбор конкретных ситуаций (кейсов).</w:t>
      </w:r>
    </w:p>
    <w:p>
      <w:pPr/>
      <w:r>
        <w:rPr/>
        <w:t xml:space="preserve">Самостоятельное решение кейс-задач предполагает индивидуальную работу студента: на решение задач дается от 3 до 6 календарных дней, студент письменно излагает мотивированное решение и направляет преподавателю. </w:t>
      </w:r>
      <w:r>
        <w:rPr>
          <w:i w:val="1"/>
          <w:iCs w:val="1"/>
        </w:rPr>
        <w:t xml:space="preserve">Невыполнение задания к установленному времени без уважительных причин (болезнь, соревнования и т.п.) или неудовлетворительное выполнение означает невыполнение программы дисциплины и влечет не допуск к экзамену.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кейс-задача.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Кейс-задача</w:t>
      </w:r>
    </w:p>
    <w:p>
      <w:pPr/>
      <w:r>
        <w:rPr/>
        <w:t xml:space="preserve">Ольга и Иван состоят в зарегистрированном браке с 2013 года. В 2018 году Иван без согласия Ольги выступил поручителем у своего друга, который в ПАО «Сбербанк» взял кредит на 3 500 000 руб.</w:t>
      </w:r>
    </w:p>
    <w:p>
      <w:pPr/>
      <w:r>
        <w:rPr/>
        <w:t xml:space="preserve">Ольга, узнав об этом, подавал иск в суд о признании договора поручительства недействительной сделкой, т.к. не было получено ее согласия на заключения обеспечительной сделки. В обосновании своих доводов она ссылалась на ст.35 СК РФ, где сказано, что при совершении одним из супругов сделки по распоряжению общим имуществом супругов предполагается, что он действует с согласия другого супруга. Сделка, совершенная одним из супругов по распоряжению общим имуществом супругов, может быть признана судом недействительной по мотивам отсутствия согласия другого супруга только по его требованию и только в случаях, если доказано, что другая сторона в сделке знала или заведомо должна была знать о несогласии другого супруга на совершение данной сделки (пункт 2). Для совершения одним из супругов сделки по распоряжению недвижимостью и сделки, требующей нотариального удостоверения и (или) регистрации в установленном законом порядке, необходимо получить нотариально удостоверенное согласие другого супруга (пункт 3).</w:t>
      </w:r>
    </w:p>
    <w:p>
      <w:pPr/>
      <w:r>
        <w:rPr>
          <w:b w:val="1"/>
          <w:bCs w:val="1"/>
        </w:rPr>
        <w:t xml:space="preserve">Подлежат ли требования Ольги удовлетворению? Является ли поручительство сделкой по распоряжению общим имуществом супругов?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>
        <w:numPr>
          <w:ilvl w:val="0"/>
          <w:numId w:val="1"/>
        </w:numPr>
      </w:pPr>
      <w:r>
        <w:rPr/>
        <w:t xml:space="preserve">Понятие и способы обеспечения обязательств в ГК РФ. Цель и правовая основа.</w:t>
      </w:r>
    </w:p>
    <w:p>
      <w:pPr>
        <w:numPr>
          <w:ilvl w:val="0"/>
          <w:numId w:val="1"/>
        </w:numPr>
      </w:pPr>
      <w:r>
        <w:rPr/>
        <w:t xml:space="preserve">Неустойка как способ обеспечения исполнения обязательств. Форма соглашения о неустойке.</w:t>
      </w:r>
    </w:p>
    <w:p>
      <w:pPr>
        <w:numPr>
          <w:ilvl w:val="0"/>
          <w:numId w:val="1"/>
        </w:numPr>
      </w:pPr>
      <w:r>
        <w:rPr/>
        <w:t xml:space="preserve">Виды неустойки. Основания для снижения размера неустойки.</w:t>
      </w:r>
    </w:p>
    <w:p>
      <w:pPr>
        <w:numPr>
          <w:ilvl w:val="0"/>
          <w:numId w:val="1"/>
        </w:numPr>
      </w:pPr>
      <w:r>
        <w:rPr/>
        <w:t xml:space="preserve">Залог. Понятие залога и основания возникновения залога.</w:t>
      </w:r>
    </w:p>
    <w:p>
      <w:pPr>
        <w:numPr>
          <w:ilvl w:val="0"/>
          <w:numId w:val="1"/>
        </w:numPr>
      </w:pPr>
      <w:r>
        <w:rPr/>
        <w:t xml:space="preserve">Залогодатель, залогодержатель, созалогодержатели.</w:t>
      </w:r>
    </w:p>
    <w:p>
      <w:pPr>
        <w:numPr>
          <w:ilvl w:val="0"/>
          <w:numId w:val="1"/>
        </w:numPr>
      </w:pPr>
      <w:r>
        <w:rPr/>
        <w:t xml:space="preserve">Очередность удовлетворения требований залогодержателей.</w:t>
      </w:r>
    </w:p>
    <w:p>
      <w:pPr>
        <w:numPr>
          <w:ilvl w:val="0"/>
          <w:numId w:val="1"/>
        </w:numPr>
      </w:pPr>
      <w:r>
        <w:rPr/>
        <w:t xml:space="preserve">Порядок обращения взыскания на заложенное имущество.</w:t>
      </w:r>
    </w:p>
    <w:p>
      <w:pPr>
        <w:numPr>
          <w:ilvl w:val="0"/>
          <w:numId w:val="1"/>
        </w:numPr>
      </w:pPr>
      <w:r>
        <w:rPr/>
        <w:t xml:space="preserve">Реестр уведомлений о залоге: особенности внесения данных о движимых и недвижимых вещах, значение реестровой записи.</w:t>
      </w:r>
    </w:p>
    <w:p>
      <w:pPr>
        <w:numPr>
          <w:ilvl w:val="0"/>
          <w:numId w:val="1"/>
        </w:numPr>
      </w:pPr>
      <w:r>
        <w:rPr/>
        <w:t xml:space="preserve">Основания прекращения залога.</w:t>
      </w:r>
    </w:p>
    <w:p>
      <w:pPr>
        <w:numPr>
          <w:ilvl w:val="0"/>
          <w:numId w:val="1"/>
        </w:numPr>
      </w:pPr>
      <w:r>
        <w:rPr/>
        <w:t xml:space="preserve">Три вида эластичности залога.</w:t>
      </w:r>
    </w:p>
    <w:p>
      <w:pPr>
        <w:numPr>
          <w:ilvl w:val="0"/>
          <w:numId w:val="1"/>
        </w:numPr>
      </w:pPr>
      <w:r>
        <w:rPr/>
        <w:t xml:space="preserve">Удержание вещи как способ обеспечения исполнения обязательств подоговору.</w:t>
      </w:r>
    </w:p>
    <w:p>
      <w:pPr>
        <w:numPr>
          <w:ilvl w:val="0"/>
          <w:numId w:val="1"/>
        </w:numPr>
      </w:pPr>
      <w:r>
        <w:rPr/>
        <w:t xml:space="preserve">Поручительство как способ обеспечения исполнения обязательств подоговору.</w:t>
      </w:r>
    </w:p>
    <w:p>
      <w:pPr>
        <w:numPr>
          <w:ilvl w:val="0"/>
          <w:numId w:val="1"/>
        </w:numPr>
      </w:pPr>
      <w:r>
        <w:rPr/>
        <w:t xml:space="preserve">Сроки в поручительстве.</w:t>
      </w:r>
    </w:p>
    <w:p>
      <w:pPr>
        <w:numPr>
          <w:ilvl w:val="0"/>
          <w:numId w:val="1"/>
        </w:numPr>
      </w:pPr>
      <w:r>
        <w:rPr/>
        <w:t xml:space="preserve">Объем ответственности поручителя. Ответственность нескольких поручителей.</w:t>
      </w:r>
    </w:p>
    <w:p>
      <w:pPr>
        <w:numPr>
          <w:ilvl w:val="0"/>
          <w:numId w:val="2"/>
        </w:numPr>
      </w:pPr>
      <w:r>
        <w:rPr/>
        <w:t xml:space="preserve">Прекращение поручительства.</w:t>
      </w:r>
    </w:p>
    <w:p>
      <w:pPr>
        <w:numPr>
          <w:ilvl w:val="0"/>
          <w:numId w:val="2"/>
        </w:numPr>
      </w:pPr>
      <w:r>
        <w:rPr/>
        <w:t xml:space="preserve">Задаток как способ обеспечения исполнения обязательств по договору.</w:t>
      </w:r>
    </w:p>
    <w:p>
      <w:pPr>
        <w:numPr>
          <w:ilvl w:val="0"/>
          <w:numId w:val="2"/>
        </w:numPr>
      </w:pPr>
      <w:r>
        <w:rPr/>
        <w:t xml:space="preserve">Обеспечительный платеж как способ обеспечения исполнения обязательств по договору.</w:t>
      </w:r>
    </w:p>
    <w:p>
      <w:pPr>
        <w:numPr>
          <w:ilvl w:val="0"/>
          <w:numId w:val="2"/>
        </w:numPr>
      </w:pPr>
      <w:r>
        <w:rPr/>
        <w:t xml:space="preserve">Независимая гарантия.</w:t>
      </w:r>
    </w:p>
    <w:p>
      <w:pPr>
        <w:numPr>
          <w:ilvl w:val="0"/>
          <w:numId w:val="2"/>
        </w:numPr>
      </w:pPr>
      <w:r>
        <w:rPr/>
        <w:t xml:space="preserve">Акцессорность обеспечительных обязательств.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Обучающимся рекомендуется посещать</w:t>
      </w:r>
      <w:r>
        <w:rPr/>
        <w:t xml:space="preserve"> </w:t>
      </w:r>
      <w:r>
        <w:rPr/>
        <w:t xml:space="preserve">лекции и</w:t>
      </w:r>
      <w:r>
        <w:rPr/>
        <w:t xml:space="preserve"> </w:t>
      </w:r>
      <w:r>
        <w:rPr/>
        <w:t xml:space="preserve">практические занятия, регулярно заниматься самостоятельно.</w:t>
      </w:r>
      <w:r>
        <w:rPr/>
        <w:t xml:space="preserve"> </w:t>
      </w:r>
    </w:p>
    <w:p>
      <w:pPr/>
      <w:r>
        <w:rPr/>
        <w:t xml:space="preserve">Самостоятельная работа обучающихся включает</w:t>
      </w:r>
    </w:p>
    <w:p>
      <w:pPr>
        <w:numPr>
          <w:ilvl w:val="0"/>
          <w:numId w:val="3"/>
        </w:numPr>
      </w:pPr>
      <w:r>
        <w:rPr/>
        <w:t xml:space="preserve">Решение кейс-задач</w:t>
      </w:r>
      <w:r>
        <w:rPr/>
        <w:t xml:space="preserve">;</w:t>
      </w:r>
    </w:p>
    <w:p>
      <w:pPr>
        <w:numPr>
          <w:ilvl w:val="0"/>
          <w:numId w:val="3"/>
        </w:numPr>
      </w:pPr>
      <w:r>
        <w:rPr/>
        <w:t xml:space="preserve">Подготовка к экзамену;</w:t>
      </w:r>
    </w:p>
    <w:p>
      <w:pPr>
        <w:numPr>
          <w:ilvl w:val="0"/>
          <w:numId w:val="3"/>
        </w:numPr>
      </w:pPr>
      <w:r>
        <w:rPr/>
        <w:t xml:space="preserve">Работа с обязательной и дополнительной литературой, информационными ресурсами.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Лекционный курс предполагает систематизированное изложение основных вопросов учебного плана.</w:t>
      </w:r>
    </w:p>
    <w:p>
      <w:pPr/>
      <w:r>
        <w:rPr/>
        <w:t xml:space="preserve">На первой лекции лектор обязан предупредить студентов, применительно к какому базовому учебнику (учебникам, учебным пособиям) будет прочитан курс.</w:t>
      </w:r>
    </w:p>
    <w:p>
      <w:pPr/>
      <w:r>
        <w:rPr/>
        <w:t xml:space="preserve">Лекционный курс должен давать наибольший объем информации и обеспечивать более глубокое понимание учебных вопросов при значительно меньшей затрате времени, чем это требуется большинству студентов на самостоятельное изучение материала.</w:t>
      </w:r>
    </w:p>
    <w:p>
      <w:pPr/>
      <w:r>
        <w:rPr/>
        <w:t xml:space="preserve">Семинарские (практические занятия) представляют собой детализацию лекционного теоретического материала, проводятся в целях закрепления курса и охватывают все основные разделы.</w:t>
      </w:r>
    </w:p>
    <w:p>
      <w:pPr/>
      <w:r>
        <w:rPr/>
        <w:t xml:space="preserve">Основной формой проведения семинаров и практических занятий является обсуждение наиболее проблемных и сложных вопросов по отдельным темам, а также решение задач и разбор примеров и ситуаций в аудиторных условиях. В обязанности преподавателя входят: оказание методической помощи и консультирование студентов по соответствующим темам курса.</w:t>
      </w:r>
    </w:p>
    <w:p>
      <w:pPr/>
      <w:r>
        <w:rPr/>
        <w:t xml:space="preserve">В начале семестра необходимо довести до обучающихся требования для получения зачета, график предоставления выполненных индивидуальных контрольных работ.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Р.С.Бевзенко "Акцессорность обеспечительных обязательств: европейская правовая традиция и российская практика"//</w:t>
      </w:r>
      <w:hyperlink r:id="rId7" w:history="1">
        <w:r>
          <w:rPr/>
          <w:t xml:space="preserve">https://private-right.ru/wp-content/uploads/%D0%91%D0%B5%D0%B2%D0%B7%D0%B5%D0%BD%D0%BA%D0%BE-%D0%90%D0%BA%D1%86%D0%B5%D1%81%D1%81%D0%BE%D1%80%D0%BD%D0%BE%D1%81%D1%82%D1%8C.pdf</w:t>
        </w:r>
      </w:hyperlink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СИГМА.Электронный архив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/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/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5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5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322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FCD7B1A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DDD36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958E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0D2FED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vate-right.ru/wp-content/uploads/%D0%91%D0%B5%D0%B2%D0%B7%D0%B5%D0%BD%D0%BA%D0%BE-%D0%90%D0%BA%D1%86%D0%B5%D1%81%D1%81%D0%BE%D1%80%D0%BD%D0%BE%D1%81%D1%82%D1%8C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2026-04-23T21:01:17+03:00</dcterms:created>
  <dcterms:modified xsi:type="dcterms:W3CDTF">2026-04-23T21:01:17+03:00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