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Целями учебной практики</w:t>
      </w:r>
      <w:r>
        <w:rPr/>
        <w:t xml:space="preserve"> является формирование у студентов:</w:t>
      </w:r>
    </w:p>
    <w:p>
      <w:pPr/>
      <w:r>
        <w:rPr/>
        <w:t xml:space="preserve">-представлений о направлении подготовки «Техносферная безопасность»</w:t>
      </w:r>
    </w:p>
    <w:p>
      <w:pPr/>
      <w:r>
        <w:rPr/>
        <w:t xml:space="preserve">-общих представлений о структуре, задачах и особенностях деятельности специализированных служб МЧС (РСЧС, ГУ МЧС по Республике Карелия),  виды отделов и подразделений, входящих в данные организации</w:t>
      </w:r>
    </w:p>
    <w:p>
      <w:pPr/>
      <w:r>
        <w:rPr/>
        <w:t xml:space="preserve">-общих представлений о структуре, задачах и особенностях деятельности отделов охраны труда организаций</w:t>
      </w:r>
    </w:p>
    <w:p>
      <w:pPr/>
      <w:r>
        <w:rPr/>
        <w:t xml:space="preserve">-знаний о видах чрезвычайных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-закрепление теоретических знаний по основным дисциплинам курса, полученных в процессе обучения, а также ознакомление с соответствующей направлению обучения спецификой организации (предприятия) или его подразделения;</w:t>
      </w:r>
    </w:p>
    <w:p>
      <w:pPr/>
      <w:r>
        <w:rPr/>
        <w:t xml:space="preserve">-выяснение основных целей деятельности организации и выполняемых ею функций;</w:t>
      </w:r>
    </w:p>
    <w:p>
      <w:pPr/>
      <w:r>
        <w:rPr/>
        <w:t xml:space="preserve">-ознакомление с нормативно-правовыми документами, регламентирующими работу организации;</w:t>
      </w:r>
    </w:p>
    <w:p>
      <w:pPr/>
      <w:r>
        <w:rPr/>
        <w:t xml:space="preserve">-изучение организационной структуры и распределения функций между подразделениями и работниками;</w:t>
      </w:r>
    </w:p>
    <w:p>
      <w:pPr/>
      <w:r>
        <w:rPr/>
        <w:t xml:space="preserve">-знакомство с положениями о структурных подразделениях и должностными инструкциями;</w:t>
      </w:r>
    </w:p>
    <w:p>
      <w:pPr/>
      <w:r>
        <w:rPr/>
        <w:t xml:space="preserve">-знакомство с соответствующей направлению обучения спецификой работы конкретного подразделения или всей организации;</w:t>
      </w:r>
    </w:p>
    <w:p>
      <w:pPr/>
      <w:r>
        <w:rPr/>
        <w:t xml:space="preserve">-выполнение индивидуального задания.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 </w:t>
      </w:r>
    </w:p>
    <w:p>
      <w:pPr/>
      <w:r>
        <w:rPr/>
        <w:t xml:space="preserve">-г. Петрозаводск, пр. Ленина, 33 Управление комплексной безопасности ПетрГУ, отдел охраны труда;</w:t>
      </w:r>
    </w:p>
    <w:p>
      <w:pPr/>
      <w:r>
        <w:rPr/>
        <w:t xml:space="preserve">-г.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  <w:r>
        <w:rPr/>
        <w:t xml:space="preserve">-отделы охраны труда организаций г. Петрозаводск (при условии заключения договора о практической подготовке обучающихся).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Место проведения выездной практики: </w:t>
      </w:r>
    </w:p>
    <w:p>
      <w:pPr/>
      <w:r>
        <w:rPr/>
        <w:t xml:space="preserve"> -отделы охраны труда организаций субъектов РФ (при условии заключения договора о практической подготовке обучающихся).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
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
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
ОПК-2.2 Знает основы обеспечения безопасности человека и сохранения окружающей среды;
ОПК-2.3. Умеет определять риски в различных сферах деятельности человека; 
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
ОПК-3.2. Умеет применять нормативные правовые акты, государственные требования в своей профессиональной деятельности;
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сбору и обработке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отчёта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заключительной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поведения и режимом работы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рабочей документацией и документооборотом в вопросах охраны труда в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полномочиями, задачами и функциями отдела охраны труда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структурой организации, объектом, пройти экскурсию по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работой специалиста по охране труда, изучить должностные обязанности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инструкций по охране труда, видов инструктажей, журнала регистрации инструктажа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сайтом организации и с информацией, предоставляемой сотрудниками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сайта МЧС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поручений руководителя практики от организации в рамках работы специалиста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правилами прохождения практики, требованиями к результатам освоения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инструктажем по охране труда в период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содержанием дневника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установочную конференцию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-экскурсии;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документами и знакомство с оборудованием и техникой организации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Тimes New Roman,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-цель 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-роль ведения дневника практики в формировании компетенций будущего выпускника вуза</w:t>
      </w:r>
    </w:p>
    <w:p>
      <w:pPr/>
      <w:r>
        <w:rPr/>
        <w:t xml:space="preserve">-цель инструктажа по охране труда</w:t>
      </w:r>
    </w:p>
    <w:p>
      <w:pPr/>
      <w:r>
        <w:rPr/>
        <w:t xml:space="preserve">-виды инструктажей</w:t>
      </w:r>
    </w:p>
    <w:p>
      <w:pPr/>
      <w:r>
        <w:rPr/>
        <w:t xml:space="preserve">-журнал регистрации инструктажа по охране труда</w:t>
      </w:r>
    </w:p>
    <w:p>
      <w:pPr/>
      <w:r>
        <w:rPr/>
        <w:t xml:space="preserve">-основные правила поведения в Профильной организации</w:t>
      </w:r>
    </w:p>
    <w:p>
      <w:pPr/>
      <w:r>
        <w:rPr/>
        <w:t xml:space="preserve">-требования к заполнению дневника практики</w:t>
      </w:r>
    </w:p>
    <w:p>
      <w:pPr/>
      <w:r>
        <w:rPr/>
        <w:t xml:space="preserve">-возможности допустимой вариации информации при предоставлении ее в дневнике практики</w:t>
      </w:r>
    </w:p>
    <w:p>
      <w:pPr/>
      <w:r>
        <w:rPr>
          <w:i w:val="1"/>
          <w:iCs w:val="1"/>
        </w:rPr>
        <w:t xml:space="preserve">-</w:t>
      </w:r>
      <w:r>
        <w:rPr/>
        <w:t xml:space="preserve">нормативно-правовая база в области охраны труда</w:t>
      </w:r>
    </w:p>
    <w:p>
      <w:pPr/>
      <w:r>
        <w:rPr/>
        <w:t xml:space="preserve">-рабочая документация и документооборот в вопросах охраны труда</w:t>
      </w:r>
    </w:p>
    <w:p>
      <w:pPr/>
      <w:r>
        <w:rPr/>
        <w:t xml:space="preserve">-цель и задачи отдела охраны труда Профильной организации</w:t>
      </w:r>
    </w:p>
    <w:p>
      <w:pPr/>
      <w:r>
        <w:rPr/>
        <w:t xml:space="preserve">-структура Профильной организации</w:t>
      </w:r>
    </w:p>
    <w:p>
      <w:pPr/>
      <w:r>
        <w:rPr/>
        <w:t xml:space="preserve">-перечень трудовых функций включенных в должностную инструкцию специалиста по охране труда</w:t>
      </w:r>
    </w:p>
    <w:p>
      <w:pPr/>
      <w:r>
        <w:rPr/>
        <w:t xml:space="preserve">-система документооборота в сфере охраны труда на уровне организации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включает в себя проверку руководителем практики отчета о прохождении практики, изучение отзыва руководителя от Профильной организации (в отзыве руководитель от Профильной организации отражает положительные и отрицательные моменты прохождения практики обучающимся, уровень освоения им полученной информации, оценивает обучающегося).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отражает результаты проделанной работы в рамках прохождения практики в виде итогового отчета.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Форма Отчета по итогам прохождения практики</w:t>
      </w:r>
    </w:p>
    <w:p>
      <w:pPr/>
      <w:r>
        <w:rPr/>
        <w:t xml:space="preserve">Титульный лист: указывается ФИО обучающегося, номер группы, направление подготовки, место прохождения практики, год.</w:t>
      </w:r>
    </w:p>
    <w:p>
      <w:pPr/>
      <w:r>
        <w:rPr/>
        <w:t xml:space="preserve">Основная часть должна включать:</w:t>
      </w:r>
    </w:p>
    <w:p>
      <w:pPr/>
      <w:r>
        <w:rPr/>
        <w:t xml:space="preserve">1 Место прохождения практики</w:t>
      </w:r>
    </w:p>
    <w:p>
      <w:pPr/>
      <w:r>
        <w:rPr/>
        <w:t xml:space="preserve">2 Даты прохождения практики</w:t>
      </w:r>
    </w:p>
    <w:p>
      <w:pPr/>
      <w:r>
        <w:rPr/>
        <w:t xml:space="preserve">3 Цели и задачи практики</w:t>
      </w:r>
    </w:p>
    <w:p>
      <w:pPr/>
      <w:r>
        <w:rPr/>
        <w:t xml:space="preserve">4 Этапы проведенных работ</w:t>
      </w:r>
    </w:p>
    <w:p>
      <w:pPr/>
      <w:r>
        <w:rPr/>
        <w:t xml:space="preserve">- изучение структуры всех подразделений Профильной организации</w:t>
      </w:r>
    </w:p>
    <w:p>
      <w:pPr/>
      <w:r>
        <w:rPr/>
        <w:t xml:space="preserve">- описание функций отдела охраны труда</w:t>
      </w:r>
    </w:p>
    <w:p>
      <w:pPr/>
      <w:r>
        <w:rPr/>
        <w:t xml:space="preserve">- описание должностных обязанностей специалиста по охране труда</w:t>
      </w:r>
    </w:p>
    <w:p>
      <w:pPr/>
      <w:r>
        <w:rPr/>
        <w:t xml:space="preserve">- анализ нормативно-правовой документации в сфере охраны труда</w:t>
      </w:r>
    </w:p>
    <w:p>
      <w:pPr/>
      <w:r>
        <w:rPr/>
        <w:t xml:space="preserve">-Итоги проведенных работ (Выводы по практике, идут в отчет)</w:t>
      </w:r>
    </w:p>
    <w:p>
      <w:pPr/>
      <w:r>
        <w:rPr/>
        <w:t xml:space="preserve">-Оценка руководителя практики с подписью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Отчета:</w:t>
      </w:r>
    </w:p>
    <w:p>
      <w:pPr/>
      <w:r>
        <w:rPr>
          <w:i w:val="1"/>
          <w:iCs w:val="1"/>
        </w:rPr>
        <w:t xml:space="preserve">«Отлично» </w:t>
      </w:r>
      <w:r>
        <w:rPr/>
        <w:t xml:space="preserve">выставляется в случае, если обучающийся выполнил все необходимые этапы практики, заполнил итоговый отчет без ошибок, в отзыве руководителя практики от Профильной организации стоит оценка "хорошо" или "отлично";</w:t>
      </w:r>
    </w:p>
    <w:p>
      <w:pPr/>
      <w:r>
        <w:rPr>
          <w:i w:val="1"/>
          <w:iCs w:val="1"/>
        </w:rPr>
        <w:t xml:space="preserve"> «Хорошо»</w:t>
      </w:r>
      <w:r>
        <w:rPr/>
        <w:t xml:space="preserve"> выставляется в случае, если обучающийся выполнил все необходимые этапы практики, заполнил итоговый отчет, но допустил 3 – 5 ошибок, в отзыве руководителя практики от Профильной организации стоит оценка "хорошо" или "отлично";</w:t>
      </w:r>
    </w:p>
    <w:p>
      <w:pPr/>
      <w:r>
        <w:rPr>
          <w:i w:val="1"/>
          <w:iCs w:val="1"/>
        </w:rPr>
        <w:t xml:space="preserve">«Удовлетворительно»</w:t>
      </w:r>
      <w:r>
        <w:rPr/>
        <w:t xml:space="preserve"> выставляется в случае, если обучающийся выполнил все необходимые этапы практики, заполнил итоговый отчет, но допустил 6 и более ошибок, в отзыве руководителя практики от Профильной организации стоит оценка не ниже "удовлетворительно".</w:t>
      </w:r>
    </w:p>
    <w:p>
      <w:pPr/>
      <w:r>
        <w:rPr>
          <w:i w:val="1"/>
          <w:iCs w:val="1"/>
        </w:rPr>
        <w:t xml:space="preserve"> «Не удовлетворительно»</w:t>
      </w:r>
      <w:r>
        <w:rPr/>
        <w:t xml:space="preserve"> выставляется в случае,</w:t>
      </w:r>
    </w:p>
    <w:p>
      <w:pPr/>
      <w:r>
        <w:rPr/>
        <w:t xml:space="preserve">- если обучающийся выполнял необходимые этапы практики с ошибками, допускал нарушения трудовой дисциплины, оценивается руководителем практики от организации на "не удовлетворительно";</w:t>
      </w:r>
    </w:p>
    <w:p>
      <w:pPr/>
      <w:r>
        <w:rPr/>
        <w:t xml:space="preserve">- если обучающийся выполнил все необходимые этапы практики, но не заполнил итоговый отчет;</w:t>
      </w:r>
    </w:p>
    <w:p>
      <w:pPr/>
      <w:r>
        <w:rPr/>
        <w:t xml:space="preserve">- если обучающийся не выполнил все необходимые этапы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Кукин П.П., Лапин В.Л., Пономарев Н.Л.; Безопасность жизнедеятельности. Безопасность</w:t>
      </w:r>
      <w:r>
        <w:rPr/>
        <w:t xml:space="preserve">технологических процессов и производств.</w:t>
      </w:r>
      <w:r>
        <w:rPr/>
        <w:t xml:space="preserve"> </w:t>
      </w:r>
      <w:r>
        <w:rPr/>
        <w:t xml:space="preserve">Охрана</w:t>
      </w:r>
      <w:r>
        <w:rPr/>
        <w:t xml:space="preserve"> </w:t>
      </w:r>
      <w:r>
        <w:rPr/>
        <w:t xml:space="preserve">труда: учеб. пособие для студентов вузов. - 4-е изд. перераб. - М.: Высш. шк., 2007. - 335 с.;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Учебник для студентов вузов / С.В. Белов [и др.] ; Под. общ. ред. С.В. Белова. - 3-е изд., испр. и доп. - Москва : Высшая школа, 2001. - 485 с.;</w:t>
      </w:r>
    </w:p>
    <w:p>
      <w:pPr>
        <w:numPr>
          <w:ilvl w:val="0"/>
          <w:numId w:val="1"/>
        </w:numPr>
      </w:pPr>
      <w:r>
        <w:rPr/>
        <w:t xml:space="preserve">Алексеенко, В. А. Жизнедеятельность и биосфера : учеб. пособие для студентов вузов, обучающихся по направлению подгот. дипломир. специалистов 656600 - "Защита окружающей среды" / В. А. Алексеенко. - Москва : Логос, 2005 год. - 230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Нормативно-правовая база: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Федеральный закон от 21.12.1994 № 68-ФЗ «О защите населения и территорий от чрезвычайных ситуаций природного и техногенного характера».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Федеральный закон от 28.12.2013 № 426-ФЗ «О специальной оценке условий труда»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«Трудовой кодекс Российской Федерации» от 30.12.2001 №197-ФЗ.</w:t>
      </w:r>
    </w:p>
    <w:p>
      <w:pPr>
        <w:numPr>
          <w:ilvl w:val="0"/>
          <w:numId w:val="2"/>
        </w:numPr>
      </w:pPr>
      <w:hyperlink r:id="rId9" w:history="1">
        <w:r>
          <w:rPr/>
          <w:t xml:space="preserve">Постановление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hyperlink r:id="rId10" w:history="1">
        <w:r>
          <w:rPr/>
          <w:t xml:space="preserve">Приказ Минздравсоцразвития РФ от 15.04.2005 № 275 «О формах документов, необходимых для расследования несчастных случаев на производстве»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hyperlink r:id="rId11" w:history="1">
        <w:r>
          <w:rPr/>
          <w:t xml:space="preserve">Приказ Минздравсоцразвития России от 01.06.2009г.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hyperlink r:id="rId12" w:history="1">
        <w:r>
          <w:rPr/>
          <w:t xml:space="preserve">Приказ Минтруда России от 04.08.2014 № 524н «Об утверждении профессионального стандарта «Специалист в области охраны труда»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hyperlink r:id="rId13" w:history="1">
        <w:r>
          <w:rPr/>
          <w:t xml:space="preserve">Приказ Минтруда России от 24.06.2014 № 412н «Об утверждении Типового положения о комитете (комиссии) по охране труда»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СП 88.13330.2014. Свод правил. Защитные сооружения гражданской обороны. Актуализированная редакция СНиП II-11-77* (утв. Приказом Минстроя России от 18.02.2014 № 59/пр).</w:t>
      </w:r>
    </w:p>
    <w:p>
      <w:pPr>
        <w:numPr>
          <w:ilvl w:val="0"/>
          <w:numId w:val="2"/>
        </w:numPr>
      </w:pPr>
      <w:r>
        <w:rPr/>
        <w:t xml:space="preserve">ГОСТ Р 42.4.03-2015 «Защитные сооружения гражданской обороны. Классификация. Общие технические требования».</w:t>
      </w:r>
    </w:p>
    <w:p>
      <w:pPr>
        <w:numPr>
          <w:ilvl w:val="0"/>
          <w:numId w:val="2"/>
        </w:numPr>
      </w:pPr>
      <w:hyperlink r:id="rId14" w:history="1">
        <w:r>
          <w:rPr/>
          <w:t xml:space="preserve">ГОСТ 12.0.230-2007. «Межгосударственный стандарт. Система стандартов безопасности труда. Системы управления охраной труда. Общие требования»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hyperlink r:id="rId15" w:history="1">
        <w:r>
          <w:rPr/>
          <w:t xml:space="preserve">ГОСТ 12.0.002-2014. «Межгосударственный стандарт. Система стандартов безопасности труда. Термины и определения»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Windows 7, Windows 10, Windows XP.</w:t>
      </w:r>
    </w:p>
    <w:p>
      <w:pPr/>
      <w:r>
        <w:rPr/>
        <w:t xml:space="preserve">Офисный пакет: Office 2007.</w:t>
      </w:r>
    </w:p>
    <w:p>
      <w:pPr/>
      <w:r>
        <w:rPr/>
        <w:t xml:space="preserve">Браузеры: 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3"/>
        </w:numPr>
      </w:pPr>
      <w:r>
        <w:rPr/>
        <w:t xml:space="preserve">Справочно-правовая система по законодательству РФ «Гарант» </w:t>
      </w:r>
      <w:hyperlink r:id="rId16" w:history="1">
        <w:r>
          <w:rPr/>
          <w:t xml:space="preserve">https://base.garant.ru</w:t>
        </w:r>
      </w:hyperlink>
    </w:p>
    <w:p>
      <w:pPr>
        <w:numPr>
          <w:ilvl w:val="0"/>
          <w:numId w:val="3"/>
        </w:numPr>
      </w:pPr>
      <w:r>
        <w:rPr/>
        <w:t xml:space="preserve">Компьютерная справочно-правовая система РФ «КонсультантПлюс» </w:t>
      </w:r>
      <w:hyperlink r:id="rId17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3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8" w:history="1">
        <w:r>
          <w:rPr/>
          <w:t xml:space="preserve">https://docs.cntd.ru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8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CA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7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://www.pravo.gov.ru/proxy/ips/?docbody=&amp;nd=102170672&amp;intelsearch=426-%F4%E7" TargetMode="External"/><Relationship Id="rId9" Type="http://schemas.openxmlformats.org/officeDocument/2006/relationships/hyperlink" Target="http://www.pravo.gov.ru/proxy/ips/?docbody=&amp;nd=102096235&amp;intelsearch=1%2F29" TargetMode="External"/><Relationship Id="rId10" Type="http://schemas.openxmlformats.org/officeDocument/2006/relationships/hyperlink" Target="http://www.pravo.gov.ru/proxy/ips/?docbody=&amp;nd=102098479&amp;intelsearch=%CF%F0%E8%EA%E0%E7+%CC%E8%ED%E7%E4%F0%E0%E2%F1%EE%F6%F0%E0%E7%E2%E8%F2%E8%FF+%D0%D4+%EE%F2+15.04.2005+%B9+275+%AB%CE+%F4%EE%F0%EC%E0%F5+%E4%EE%EA%F3%EC%E5%ED%F2%EE%E2%2C+%ED%E5%EE%E1%F5%EE%E4%E8%EC%FB%F5+%E4%EB%FF+%F0%E0%F1%F1%EB%E5%E4%EE%E2%E0%ED%E8%FF+%ED%E5%F1%F7%E0%F1%F2%ED%FB%F5+%F1%EB%F3%F7%E0%E5%E2+%ED%E0+%EF%F0%EE%E8%E7%E2%EE%E4%F1%F2%E2%E5" TargetMode="External"/><Relationship Id="rId11" Type="http://schemas.openxmlformats.org/officeDocument/2006/relationships/hyperlink" Target="http://www.consultant.ru/document/cons_doc_LAW_91478/" TargetMode="External"/><Relationship Id="rId12" Type="http://schemas.openxmlformats.org/officeDocument/2006/relationships/hyperlink" Target="https://www.minobrnauki.gov.ru/files/04.08.2014_-_524_n.pdf" TargetMode="External"/><Relationship Id="rId13" Type="http://schemas.openxmlformats.org/officeDocument/2006/relationships/hyperlink" Target="https://www.minobrnauki.gov.ru/files/24.06.2014_412n.pdf" TargetMode="External"/><Relationship Id="rId14" Type="http://schemas.openxmlformats.org/officeDocument/2006/relationships/hyperlink" Target="https://www.minobrnauki.gov.ru/files/12.0.230-2007.pdf" TargetMode="External"/><Relationship Id="rId15" Type="http://schemas.openxmlformats.org/officeDocument/2006/relationships/hyperlink" Target="https://www.minobrnauki.gov.ru/files/gost_12.0.002-2014.pdf" TargetMode="External"/><Relationship Id="rId16" Type="http://schemas.openxmlformats.org/officeDocument/2006/relationships/hyperlink" Target="https://base.garant.ru" TargetMode="External"/><Relationship Id="rId17" Type="http://schemas.openxmlformats.org/officeDocument/2006/relationships/hyperlink" Target="http://www.consultant.ru/cons/cgi/online.cgi?req=home;rnd=0.2854650106989982" TargetMode="External"/><Relationship Id="rId18" Type="http://schemas.openxmlformats.org/officeDocument/2006/relationships/hyperlink" Target="https://docs.cntd.ru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2026-04-21T04:00:27+03:00</dcterms:created>
  <dcterms:modified xsi:type="dcterms:W3CDTF">2026-04-21T04:00:27+03:00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