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2021-2026</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лесных, горных и строительных наук</w:t>
      </w:r>
    </w:p>
    <w:p>
      <w:pPr>
        <w:spacing w:before="0" w:after="0"/>
      </w:pPr>
      <w:pPr>
        <w:rPr>
          <w:sz w:val="24"/>
          <w:szCs w:val="24"/>
        </w:rPr>
      </w:pPr>
    </w:p>
    <w:p>
      <w:pPr>
        <w:jc w:val="center"/>
        <w:ind w:left="0" w:right="0" w:firstLine="0" w:hanging="0"/>
        <w:spacing w:before="0" w:after="0"/>
      </w:pPr>
      <w:r>
        <w:rPr>
          <w:sz w:val="28"/>
          <w:szCs w:val="28"/>
        </w:rPr>
        <w:t xml:space="preserve">Кафедра транспортных и технологических машин и оборудования</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2021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ТЕОРЕТИЧЕСКАЯ МЕХАНИКА</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20.03.01 Техносферная безопасность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Профиль направления подготовки бакалавриата</w:t>
      </w:r>
    </w:p>
    <w:p>
      <w:pPr>
        <w:jc w:val="center"/>
        <w:ind w:left="0" w:right="0" w:firstLine="0" w:hanging="0"/>
        <w:spacing w:before="0" w:after="0"/>
      </w:pPr>
      <w:r>
        <w:rPr>
          <w:sz w:val="28"/>
          <w:szCs w:val="28"/>
        </w:rPr>
        <w:t xml:space="preserve">«Безопасность труда»</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заочная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2021</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25.05.2020 г. N 680 (с изменениями от 27.02.2023 г. №208, от 19.07.2022 №662, от 26.11.2020 №1456) и учебным планом по направлению подготовки бакалавриата 20.03.01 Техносферная безопасность  (профиль «Безопасность труда»).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Ефлов Владимир Борисович, доцент, кафедра транспортных и технологических машин и оборудования; доцент, кафедра семейной медицины, общественного здоровья, организации здравоохранения, безопасности жизнедеятельности, медицины катастроф, кандидат физико-математических наук, доцент.</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left"/>
        <w:ind w:left="0" w:right="0" w:firstLine="0" w:hanging="0"/>
      </w:pPr>
      <w:r>
        <w:rPr>
          <w:sz w:val="24"/>
          <w:szCs w:val="24"/>
        </w:rPr>
        <w:t xml:space="preserve">Начальник методического отдела</w:t>
      </w:r>
    </w:p>
    <w:p>
      <w:pPr>
        <w:jc w:val="left"/>
        <w:ind w:left="0" w:right="0" w:firstLine="0" w:hanging="0"/>
      </w:pPr>
      <w:r>
        <w:rPr>
          <w:sz w:val="24"/>
          <w:szCs w:val="24"/>
        </w:rPr>
        <w:t xml:space="preserve">учебно-методического управления ПетрГУ _________________________ И.В. Маханькова</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УК-1
Основной</w:t>
            </w:r>
          </w:p>
        </w:tc>
        <w:tc>
          <w:tcPr>
            <w:tcW w:w="4000" w:type="dxa"/>
            <w:noWrap/>
          </w:tcPr>
          <w:p>
            <w:pPr>
              <w:jc w:val="numTab"/>
              <w:ind w:left="0" w:right="0" w:firstLine="0" w:hanging="0"/>
            </w:pPr>
            <w:r>
              <w:rPr/>
              <w:t xml:space="preserve">Способен осуществлять поиск, критический анализ и синтез информации, применять системный подход для решения поставленных задач</w:t>
            </w:r>
          </w:p>
        </w:tc>
        <w:tc>
          <w:tcPr>
            <w:tcW w:w="3100" w:type="dxa"/>
            <w:noWrap/>
          </w:tcPr>
          <w:p>
            <w:pPr/>
            <w:r>
              <w:rPr/>
              <w:t xml:space="preserve">УК-1.1.  Анализирует задачу, выделяя ее базовые составляющие.  Осуществляет декомпозицию задачи.</w:t>
            </w:r>
          </w:p>
          <w:p/>
          <w:p>
            <w:pPr/>
            <w:r>
              <w:rPr/>
              <w:t xml:space="preserve">УК-1.2. Находит и критически анализирует информацию, необходимую для решения поставленной задачи.  </w:t>
            </w:r>
          </w:p>
          <w:p/>
          <w:p>
            <w:pPr/>
            <w:r>
              <w:rPr/>
              <w:t xml:space="preserve">УК-1.3. Рассматривает различные варианты решения задачи, оценивая их достоинства и недостатки.</w:t>
            </w:r>
          </w:p>
          <w:p/>
          <w:p>
            <w:pPr/>
            <w:r>
              <w:rPr/>
              <w:t xml:space="preserve">УК-1.4.  Грамотно, логично, аргументированно формирует собственные суждения и оценки. </w:t>
            </w:r>
          </w:p>
          <w:p/>
          <w:p>
            <w:pPr/>
            <w:r>
              <w:rPr/>
              <w:t xml:space="preserve">Отличает факты от мнений, интерпретаций, оценок и т.д. в рассуждениях других участников деятельности.</w:t>
            </w:r>
          </w:p>
          <w:p/>
          <w:p>
            <w:pPr/>
            <w:r>
              <w:rPr/>
              <w:t xml:space="preserve">УК-1.5.  Определяет и оценивает практические последствия возможных решений задачи.</w:t>
            </w:r>
          </w:p>
        </w:tc>
      </w:tr>
      <w:tr>
        <w:trPr/>
        <w:tc>
          <w:tcPr>
            <w:tcW w:w="2500" w:type="dxa"/>
            <w:noWrap/>
          </w:tcPr>
          <w:p>
            <w:pPr>
              <w:jc w:val="numTab"/>
              <w:ind w:left="0" w:right="0" w:firstLine="0" w:hanging="0"/>
            </w:pPr>
            <w:r>
              <w:rPr/>
              <w:t xml:space="preserve">ОПК-1
Основной</w:t>
            </w:r>
          </w:p>
        </w:tc>
        <w:tc>
          <w:tcPr>
            <w:tcW w:w="4000" w:type="dxa"/>
            <w:noWrap/>
          </w:tcPr>
          <w:p>
            <w:pPr>
              <w:jc w:val="numTab"/>
              <w:ind w:left="0" w:right="0" w:firstLine="0" w:hanging="0"/>
            </w:pPr>
            <w:r>
              <w:rPr/>
              <w:t xml:space="preserve">Способен учитывать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 при решении типовых задач в области профессиональной деятельности, связанной с защитой окружающей среды и обеспечением безопасности человека</w:t>
            </w:r>
          </w:p>
        </w:tc>
        <w:tc>
          <w:tcPr>
            <w:tcW w:w="3100" w:type="dxa"/>
            <w:noWrap/>
          </w:tcPr>
          <w:p>
            <w:pPr/>
            <w:r>
              <w:rPr/>
              <w:t xml:space="preserve">ОПК-1.1. Знает основные понятия, методы и приемы  в области техносферной безопасности, измерительной и вычислительной техники, информационных технологий;</w:t>
            </w:r>
          </w:p>
          <w:p/>
          <w:p>
            <w:pPr/>
            <w:r>
              <w:rPr/>
              <w:t xml:space="preserve">ОПК-1.2. Определяет и анализирует современные тенденции развития техники и технологий в области техносферной безопасности, измерительной и вычислительной техники, информационных технологий;</w:t>
            </w:r>
          </w:p>
          <w:p/>
          <w:p>
            <w:pPr/>
            <w:r>
              <w:rPr/>
              <w:t xml:space="preserve">ОПК-1.3. Способен использовать основные методы и приемы при решении типовых задач в области профессиональной деятельности, связанной с защитой окружающей среды и обеспечением безопасности человека.</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Теоретическая механика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3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3 зач. ед. или 108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108</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6</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96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3</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Статика твердого тела. Кинематика точки. Кинематика твердого тела. Динамика точки и твердого тела.</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pPr>
              <w:jc w:val="left"/>
              <w:ind w:left="0" w:right="0" w:firstLine="0" w:hanging="0"/>
            </w:pPr>
            <w:r>
              <w:rPr/>
              <w:t xml:space="preserve"/>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108</w:t>
            </w:r>
          </w:p>
        </w:tc>
        <w:tc>
          <w:tcPr>
            <w:noWrap/>
          </w:tcPr>
          <w:p>
            <w:pPr>
              <w:jc w:val="left"/>
              <w:ind w:left="0" w:right="0" w:firstLine="0" w:hanging="0"/>
            </w:pPr>
            <w:r>
              <w:rPr/>
              <w:t xml:space="preserve">6</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c>
          <w:tcPr>
            <w:noWrap/>
          </w:tcPr>
          <w:p>
            <w:pPr>
              <w:jc w:val="left"/>
              <w:ind w:left="0" w:right="0" w:firstLine="0" w:hanging="0"/>
            </w:pPr>
            <w:r>
              <w:rPr/>
              <w:t xml:space="preserve">96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Основные понятия и аксиомы статики</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Главный вектор и главный момент системы сил</w:t>
            </w:r>
          </w:p>
        </w:tc>
        <w:tc>
          <w:tcPr>
            <w:noWrap/>
          </w:tcPr>
          <w:p>
            <w:pPr>
              <w:jc w:val="left"/>
              <w:ind w:left="0" w:right="0" w:firstLine="0" w:hanging="0"/>
            </w:pPr>
            <w:r>
              <w:rPr/>
              <w:t xml:space="preserve">1</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Определение ускорения точки при задании ее движения векторным, координатным и естественным способами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 Основные понятия и определения динамики. Законы динамики (законы Галилея-Ньютона)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 Применение уравнений равновесия системы сходящихся сил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 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3</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Изучить тему: скорости и ускорения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Изучить тему: система сходящихся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Изучить тему: применение условий равновесия пар сил</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Решить и оформить расчетно-графическую работу по теме: определение реакций опор твердого тела (система сил, расположенных произвольно в одной плоскости)</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Изучить тему: расчет плоских ферм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по теме: определение реакций опор составной конструкции (системы двух тел)</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реакций опор и сил в стержнях плоской фермы</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Решить и оформить расчетно-графическую работу по теме: определение реакций опор и сил в стержнях плоской фермы</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Определение скорости точки при задании ее движения векторным, координатным и естественным способами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Изучить тему: определение траектории, положения и скорости точки при задании ее движения координатным способом</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определение скорости и ускорения точки по заданным уравнениям ее движения</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Решить и оформить расчетно-графическую работу: определение скорости и ускорения точки по заданным уравнениям ее движения</w:t>
            </w:r>
          </w:p>
        </w:tc>
        <w:tc>
          <w:tcPr>
            <w:noWrap/>
          </w:tcPr>
          <w:p>
            <w:pPr>
              <w:jc w:val="left"/>
              <w:ind w:left="0" w:right="0" w:firstLine="0" w:hanging="0"/>
            </w:pPr>
            <w:r>
              <w:rPr/>
              <w:t xml:space="preserve">15</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Изучить тему: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w:t>
            </w:r>
          </w:p>
        </w:tc>
        <w:tc>
          <w:tcPr>
            <w:noWrap/>
          </w:tcPr>
          <w:p>
            <w:pPr>
              <w:jc w:val="left"/>
              <w:ind w:left="0" w:right="0" w:firstLine="0" w:hanging="0"/>
            </w:pPr>
            <w:r>
              <w:rPr/>
              <w:t xml:space="preserve">3</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Изучить тему: три формы уравнения движения материальной точки; две основные задачи динамики материальной точки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 Подготовиться к зачету</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96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процессе изучения дисциплины в рамках реализация компетентностного подхода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контрольная работа; решение комплектов задач (рабочая тетрадь).</w:t>
      </w:r>
    </w:p>
    <w:p>
      <w:pPr/>
      <w:r>
        <w:rPr/>
        <w:t xml:space="preserve">Оценочные средства для текущего контроля.</w:t>
      </w:r>
    </w:p>
    <w:p>
      <w:pPr/>
      <w:r>
        <w:rPr/>
        <w:t xml:space="preserve">Контрольная работа</w:t>
      </w:r>
    </w:p>
    <w:p>
      <w:pPr/>
      <w:r>
        <w:rPr/>
        <w:t xml:space="preserve">В процессе самостоятельной работы обучающимся необходимо подготовиться к следующим контрольным работам: 1) Статика твердого тела, кинематика точки и твердого тела; 2) Кинематика твердого тела, динамика материальной точки, механической системы и твердого тела.</w:t>
      </w:r>
    </w:p>
    <w:p>
      <w:pPr/>
      <w:r>
        <w:rPr>
          <w:i w:val="1"/>
          <w:iCs w:val="1"/>
        </w:rPr>
        <w:t xml:space="preserve">Критерии оценивания контрольной работы:</w:t>
      </w:r>
    </w:p>
    <w:p>
      <w:pPr/>
      <w:r>
        <w:rPr/>
        <w:t xml:space="preserve">Каждая контрольная работа состоит из двух задач. Каждая задача оценивается по следующей шкале: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 баллов; численное решение правильное – 1 балл, численное решение не правильное – 0 баллов. Баллы за каждую задачу суммируются. Обучающийся получает оценку "отлично" если набрал 10-9 баллов, "хорошо" – 8-7 баллов, "удовлетворительно" – 6-5 балла, "не удовлетворительно" – 4 балла и менее.</w:t>
      </w:r>
    </w:p>
    <w:p/>
    <w:p>
      <w:pPr/>
      <w:r>
        <w:rPr/>
        <w:t xml:space="preserve">Решение комплектов задач (рабочая тетрадь)</w:t>
      </w:r>
    </w:p>
    <w:p>
      <w:pPr/>
      <w:r>
        <w:rPr/>
        <w:t xml:space="preserve">Расчетно-графические работы представлены в сборнике заданий для курсовых работ по теоретической механике под. редакцией А. А. Яблонского (библиографическое описание указано в разделе рабочей программы дисциплины №</w:t>
      </w:r>
      <w:r>
        <w:rPr/>
        <w:t xml:space="preserve"> </w:t>
      </w:r>
      <w:r>
        <w:rPr/>
        <w:t xml:space="preserve">8 "Учебно-методическое и информационное обеспечение дисциплины"). Сборник содержит задания по статике твердого тела, кинематике точки и твердого тела, динамике материальной точки, механической системы и твердого тела. Каждая расчетно-графическая работа имеет 30 вариантов для индивидуального выполнения.</w:t>
      </w:r>
    </w:p>
    <w:p>
      <w:pPr/>
      <w:r>
        <w:rPr/>
        <w:t xml:space="preserve">В процессе самостоятельной работы обучающимся необходимо решить и оформить следующие расчетно-графические работы: 1) Определение реакций опор твердого тела (Система сил, расположенных произвольно в одной плоскости); 2)</w:t>
      </w:r>
      <w:r>
        <w:rPr/>
        <w:t xml:space="preserve"> </w:t>
      </w:r>
      <w:r>
        <w:rPr/>
        <w:t xml:space="preserve">Определение реакций опор составной конструкции (системы двух тел); 3)</w:t>
      </w:r>
      <w:r>
        <w:rPr/>
        <w:t xml:space="preserve"> </w:t>
      </w:r>
      <w:r>
        <w:rPr/>
        <w:t xml:space="preserve">Определение реакций опор и сил в стержнях плоской фермы ; 4)</w:t>
      </w:r>
      <w:r>
        <w:rPr/>
        <w:t xml:space="preserve"> </w:t>
      </w:r>
      <w:r>
        <w:rPr/>
        <w:t xml:space="preserve">Определение скорости и ускорения точки по заданным уравнениям ее движения; 5) Кинематический анализ плоского механизма; 6)</w:t>
      </w:r>
      <w:r>
        <w:rPr/>
        <w:t xml:space="preserve"> </w:t>
      </w:r>
      <w:r>
        <w:rPr/>
        <w:t xml:space="preserve">Интегрирование дифференциальных уравнений движения материальной точки, находящейся под действием постоянных сил.</w:t>
      </w:r>
    </w:p>
    <w:p>
      <w:pPr/>
      <w:r>
        <w:rPr/>
        <w:t xml:space="preserve">Оформление расчетно-графических работ обучающимся необходимо осуществлять на листах формата А4 в соответствии с требованиями</w:t>
      </w:r>
      <w:r>
        <w:rPr/>
        <w:t xml:space="preserve"> </w:t>
      </w:r>
      <w:r>
        <w:rPr/>
        <w:t xml:space="preserve">стандарта организации ПетрГУ 001-16 (Документы текстовые учебные. Работы выпускные квалификационные, проекты и работы курсовые. Общие требования и правила оформления) или ГОСТ 7.32—2001 (Система стандартов по информации, библиотечному и издательскому делу. Отчет о научно-исследовательской работе. Структура и правила оформления).</w:t>
      </w:r>
    </w:p>
    <w:p>
      <w:pPr/>
      <w:r>
        <w:rPr/>
        <w:t xml:space="preserve">Расчетно-графические работы оцениваются по следующей шкале: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
      <w:pPr/>
      <w:r>
        <w:rPr/>
        <w:t xml:space="preserve">5.2. Промежуточная аттестация проводится в виде:</w:t>
      </w:r>
    </w:p>
    <w:p/>
    <w:p>
      <w:pPr/>
      <w:r>
        <w:rPr/>
        <w:t xml:space="preserve">Зачет</w:t>
      </w:r>
    </w:p>
    <w:p>
      <w:pPr/>
      <w:r>
        <w:rPr/>
        <w:t xml:space="preserve">Зачет проводится в устной форме по билетам. Билет содержит два теоретических вопроса. Ответ на теоретические вопросы оценивается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Оценка выставляется с учётом оценки на ответ по билету и результатов расчетно-графических и контрольных работ.</w:t>
      </w:r>
    </w:p>
    <w:p>
      <w:pPr/>
      <w:r>
        <w:rPr/>
        <w:t xml:space="preserve">Вопросы по разделам дисциплины: 1. Предмет статики. Понятие материальной точки, абсолютно твердого тела, гладкой поверхности. Роль этих абстрактных понятий в статике. 2. Понятие силы. Система сил, равнодействующая сила, внешние и внутренние силы. Примеры внешних и внутренних сил. 3. Формулировка и смысл аксиом статики. 4. Связи и реакции связей. Основные виды связей и их реакции. Примеры связей. 5. Геометрический и аналитический способы сложения сходящихся сил. Геометрические и аналитические условия равновесия системы сходящихся сил. 6. Момент сил относительно точки (центра) как вектор. Алгебраический момент силы. 7. Момент силы относительно оси и его вычисление. Зависимость между моментом силы относительно точки и относительно оси, проходящей через эту точку. 8. Пара сил. Момент пары сил как вектор. Алгебраический момент пары сил. Свойства пар сил (без доказательства). Условия равновесия системы пар сил. 9. Лемма о параллельном переносе силы. 10. Теорема о приведении произвольной системы сил к данному центру. 11. Понятие о главном векторе и главном моменте системы сил. Модуль и направление главного вектора и главного момента произвольной пространственной системы сил. 12. Случаи приведения произвольной системы сил к равнодействующей. 13. Теорема Вариньона о моменте равнодействующей относительно точки. 14. Аналитические условия равновесия произвольной пространственной системы сил. 15. Аналитические условия равновесия плоской произвольной системы сил. Три вида условий равновесия. 16. Понятие о силе трения. Равновесие твердого тела при наличии сил трения. Угол и конус трения. 17. Центр параллельных сил. Формулы для определения радиуса-вектора и координат центра параллельных сил. 18. Центр тяжести твердого тела. Общие формулы для определения координат центра тяжести тела. Формулы для определения координат центра тяжести однородных тел. 19. Формулы для определения координат центра тяжести дуги окружности и центра тяжести площади кругового сектора. 20. Методы расчета ферм. 21. Предмет кинематики и ее задачи. Пространство и время в классической механике. Относительность механического движения. Системы отсчета. 22. Векторный способ задания движения точки. Траектория точки. Формулы для определения скорости и ускорения точки при векторном способе задания движения. 23. Координатный способ задания движения точки. Определение траектории точки. Формулы для определения скорости и ускорения точки при координатном способе задания движения. 24. Естественный способ задания движения точки. Понятие об осях естественного трехгранника. Формулы для определения скорости точки при естественном способе задания движения. 25. Формулы для определения ускорения точки при естественном способе задания движения. Физический смысл касательного и нормального ускорений. 26. Понятие о поступательном движении твердого тела. Доказательство теоремы о траекториях, скоростях и ускорениях точек твердого тела при поступательном движении. 27. Понятие о вращательном движении твердого тела. Уравнение вращательного движения. Вывод формул для определения угловой скорости и углового ускорения. Понятие о векторах угловой скорости и углового ускорения. 28. Формулы для определения скорости и ускорения точки вращающегося тела. 29. Формула, выражающей скорость точки вращающегося тела в виде векторного произведения. 30. Понятие о плоскопараллельном (плоском) движении твердого тела и движении плоской фигуры в ее плоскости. Уравнения движения плоской фигуры. 31. Разложение движения плоской фигуры на поступательное вместе с полюсом и вращательное вокруг полюса. Независимость угловых величии от выбора полюса. 32. Формула для определения скорости любой точки плоской фигуры. 33. Теорема о проекциях скоростей двух точек плоской фигуры на прямую, соединяющую точки. 34. Понятие о мгновенном центре скоростей (МЦС) плоской фигуры. Частные случаи определения положения МЦС. Определение скорости точки и угловой скорости плоской фигуры с помощью МЦС. 35. Формула для определения ускорения любой точки плоской фигуры. 36. Понятие о сложном движении точки. Определение и примеры абсолютного, относительного и переносного движений. 37. Теорема о сложении скоростей точки. 38. Теорема Кориолиса о сложении ускорений точки. Векторное выражение, физический смысл, модуль и направление кориолисова ускорения. 39. Понятие о сферическом и свободном движениях твердого тела. Скорость любой точки тела в сферическом движении. 40. Предмет динамики. Законы механики Галилея-Ньютона. Понятие об инерциальных системах отсчета. Понятие о массе как мере инерции материальной точки. 41. Дифференциальные уравнения движения материальной точки в декартовых координатах. Естественные уравнения движения точки (уравнения в проекциях на оси естественного трехгранника). 42. Свободные гармонические колебания материальной точки. Закон гармонических колебаний. Примеры колебательных движений. Амплитуда, фаза, частота и период гармонических колебаний. Связь амплитуды и начальной фазы с начальными условиями. 43. Понятие о механической системе. Классификация сил, действующих на механическую систему. Силы внешние и внутренние. Свойства внутренних сил. 44. Масса системы. Центр масс системы. Формулы для определения радиуса-вектора и координат центра масс системы. Теорема о движении центра масс системы. 45. Понятие о моментах инерции механической системы и твердого тела относительно полюса и оси. Радиус инерции. Теорема о моментах инерции относительно параллельных осей. 46. Понятие о количестве движения материальной точки и механической системы. Вывод формулы для определения количества движения механической системы через массу и скорость центра масс системы. Понятие об элементарном импульсе и импульсе переменной силы за конечный промежуток времени. 47. Теорема об изменении количества движения материальной точки и механической системы. Закон сохранения количества движения механической системы. 48. Понятие о моменте количества движения материальной точки относительно центра и оси. Кинетический момент механической системы. Формула для вычисления кинетического момента вращающегося тела относительно оси вращения. 49. Теорема об изменении момента количества движения материальной точки. Понятие о центральной силе. Примеры центральных сил. Закон сохранения момента количества движения материальной точки в случае центральных сил. 50. Теорема об изменения кинетического момента механической системы относительно центра и закона сохранения кинетического момента. 51. Элементарная работа силы. Аналитическое выражение элементарной работы. Работа силы на конечном перемещении точки ее приложения. 52. Мощность силы. Формулы для определения работы и мощности силы, приложенной к телу, вращающемуся вокруг неподвижной оси. 53. Кинетическая энергия материальной точки, механической системы. Формулы для определения кинетической энергии твердого тела в поступательном, вращательном и плоском движениях. 54. Теорема об изменении кинетической энергии материальной точки в дифференциальной и конечной формах. 55. Теоремы об изменении кинетической энергии механической системы. Работа внутренних сил, приложенных к абсолютно твердому телу. 56. Принцип Германа-Эйлера-Даламбера для материальной точки и механической системы.</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Обучающимся в ходе лекционных занятий необходимо вести конспектирование учебного материала. Общие и утвердившиеся в практике правила и приемы конспектирования лекций: 1. Конспектирование лекций ведется в специально отведенной для этого тетради, каждый лист которой должен иметь поля, на которых делаются пометки из рекомендованной литературы, дополняющие материал прослушанной лекции, а также подчеркивающие особую важность тех или иных теоретических положений; 2.</w:t>
      </w:r>
      <w:r>
        <w:rPr/>
        <w:t xml:space="preserve"> </w:t>
      </w:r>
      <w:r>
        <w:rPr/>
        <w:t xml:space="preserve">Необходимо записывать тему и план лекций, рекомендуемую литературу к теме. Записи разделов лекции должны иметь заголовки, подзаголовки, красные строки. Для выделения разделов, выводов, определений, основных идей можно использовать цветные карандаши и фломастеры; 3. Названные в лекции ссылки на первоисточники надо пометить на полях, чтобы при самостоятельной работе найти и вписать их; 4. В конспекте дословно записываются определения понятий, категорий и законов. Остальное должно быть записано своими словами; 5. Каждому студенту необходимо выработать и использовать допустимые сокращения наиболее распространенных терминов и понятий; 6. В конспект следует заносить всё, что преподаватель пишет на доске, а также рекомендуемые схемы, таблицы, диаграммы и т. д.</w:t>
      </w:r>
    </w:p>
    <w:p>
      <w:pPr/>
      <w:r>
        <w:rPr/>
        <w:t xml:space="preserve">В ходе подготовки к практическому занятию обучающимся необходимо прочитать конспект лекции, изучить основную литературу, ознакомиться с дополнительной литературой, выполнить выданные преподавателем практические задания. При этом учесть рекомендации преподавателя и требования программы. Дорабатывать свой конспект лекции, делая в нем соответствующие записи из литературы. Желательно при подготовке к практическим занятиям по дисциплине одновременно использовать несколько источников, раскрывающих заданные вопросы.</w:t>
      </w:r>
    </w:p>
    <w:p>
      <w:pPr/>
      <w:r>
        <w:rPr/>
        <w:t xml:space="preserve">Самостоятельная работа обучающихся включает в себя: самостоятельное изучение разделов дисциплины, решение и оформление расчетно-графических работ, подготовку к контрольным работам, подготовку к зачету. В ходе самостоятельной работы обучающимся необходимо изучить следующие разделы дисциплины:</w:t>
      </w:r>
      <w:r>
        <w:rPr/>
        <w:t xml:space="preserve"> основные исторические этапы развития механики; система сходящихся сил; применение условий равновесия пар сил; момент силы относительно точки и относительно оси; главный вектор и главный момент системы сил; система сил, расположенных произвольно в одной плоскости; определение реакций опор твердого тела (cистема сил, расположенных произвольно в одной плоскости); определение реакций опор составной конструкции (системы двух тел); расчет плоских ферм; определение усилий в стержнях ферм по способу Риттера; определение реакций опор и сил в стержнях плоской фермы; система сил, расположенных произвольно в пространстве; теорема о моменте равнодействующей силы (теорема Вариньона); определение реакций опор твердого тела (cистема сил, расположенных произвольно в пространстве); трение; равновесие при наличии трения; центр тяжести; способы определения координат центров тяжести тел; способы задания движения точки; определение траектории, положения и скорости точки при задании ее движения координатным способом; касательное и нормальное ускорения точки; графики движения, скорости и ускорения точки; определение скорости и ускорения точки по заданным уравнениям ее движения; скорости и ускорения точек твердого тела, вращающегося вокруг неподвижной оси; угловая скорость и угловое ускорение твердого тела как векторы; векторные формулы для скоростей и ускорений точек твердого тела вращающегося вокруг неподвижной оси; относительное, переносное и абсолютное движения точки; теорема о сложении скоростей точки; определение относительной, переносной и абсолютной скоростей кривошипно-кулисного механизма; теорема о сложении ускорений точки при поступательном переносном движении; теорема о сложении ускорений точки при вращательном переносном движении (теорема Кориолиса); Кориолисово ускорение; плоское движение твердого тела (основные понятия); ускорения точек плоской фигуры; мгновенный центр ускорений; кинематический анализ плоского механизма; сферическое движение твердого тела; общий случай движения свободного твердого тела; три формы уравнения движения материальной точки; две основные задачи динамики материальной точки; прямолинейное колебательное движение материальной точки; механическая система; центр масс механической системы; твердое тело; момент инерции твердого тела; теорема о движении центра масс механической системы; теоремы об изменении момента количества движения материальной точки и об изменении кинетического момента механической системы; работа силы; принцип Германа-Эйлера-Даламбера для материальной точки и механической системы.</w:t>
      </w:r>
    </w:p>
    <w:p>
      <w:pPr/>
      <w:r>
        <w:rPr/>
        <w:t xml:space="preserve">При подготовке к зачету обучающимся необходимо ознакомиться с перечнями вопросов к зачету. При проработке этих вопросов обучающимся рекомендуется использовать конспекты лекций и учебно-методические материалы.</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Преподавателям рекомендуется обучение по дисциплине в соответствии с Федеральными государственными образовательными стандартами высшего образования, с учетом компетентностного подхода к обучению студентов. В процессе изучения дисциплины в рамках реализация компетентностного подхода преподавателям рекомендуется в учебном процессе наряду с традиционными образовательными технологиями используются активные и интерактивные формы проведения занятий в сочетании с внеаудиторной работой. Например, в рамках освоения дисциплины предусмотрены такие формы, как мозговой штурм, проблемное обучение, программа саморазвития и др.</w:t>
      </w:r>
    </w:p>
    <w:p>
      <w:pPr/>
      <w:r>
        <w:rPr/>
        <w:t xml:space="preserve">Текущий контроль успеваемости и промежуточной аттестации обучающихся преподавателям рекомендуется осуществлять посредством контрольных работ, расчетно-графических работ и зачета.</w:t>
      </w:r>
    </w:p>
    <w:p>
      <w:pPr/>
      <w:r>
        <w:rPr/>
        <w:t xml:space="preserve">Каждая контрольная работа состоит из двух задач. Контрольные работы преподавателям рекомендуется оценивать по следующей балльно-рейтинговой системе оценки качества освоения дисциплины (для каждой задачи в отдельности): расчетная схема составлена верна – 1 балл, расчетная схема составлена не верна – 0 баллов; уравнения составлены правильно – 3 балла, уравнения составлены неправильно – 0</w:t>
      </w:r>
      <w:r>
        <w:rPr/>
        <w:t xml:space="preserve"> </w:t>
      </w:r>
      <w:r>
        <w:rPr/>
        <w:t xml:space="preserve">баллов; численное решение правильное – 1 балл, численное решение не правильное – 0</w:t>
      </w:r>
      <w:r>
        <w:rPr/>
        <w:t xml:space="preserve"> </w:t>
      </w:r>
      <w:r>
        <w:rPr/>
        <w:t xml:space="preserve">баллов. Баллы за каждую задачу суммируются. Обучающийся получает оценку "отлично" если набрал 10-9 баллов, "хорошо" – 8-7 баллов, "удовлетворительно" – 6-5</w:t>
      </w:r>
      <w:r>
        <w:rPr/>
        <w:t xml:space="preserve"> </w:t>
      </w:r>
      <w:r>
        <w:rPr/>
        <w:t xml:space="preserve">балла, "не удовлетворительно" – 4 балла и менее.</w:t>
      </w:r>
    </w:p>
    <w:p>
      <w:pPr/>
      <w:r>
        <w:rPr/>
        <w:t xml:space="preserve">Расчетно-графические работы преподавателям рекомендуется оценивать по следующей балльно-рейтинговой системе оценки качества освоения дисциплины: работа выполнена в срок – 1 балл, работа выполнена с опозданием – 0 баллов; работа оформлена в соответствии с требованиями ГОСТ – 1 балл, работа оформлена не в соответствии с требованиями ГОСТ – 0 балл; работа решена правильно – 2 балла, работа решена неправильно – 0 баллов; в процессе защиты работы получены правильные ответы на вопросы 3 балла, получены частично правильные ответы 2 балла, получены неправильные ответы – 0 баллов. Обучающийся получает оценку "отлично" если набрал 7 баллов, "хорошо" – 6-5 баллов, "удовлетворительно" – 4-3 балла, "не удовлетворительно" – 2</w:t>
      </w:r>
      <w:r>
        <w:rPr/>
        <w:t xml:space="preserve"> </w:t>
      </w:r>
      <w:r>
        <w:rPr/>
        <w:t xml:space="preserve">балла и менее.</w:t>
      </w:r>
    </w:p>
    <w:p>
      <w:pPr/>
      <w:r>
        <w:rPr/>
        <w:t xml:space="preserve">Преподавателям рекомендуется зачет проводить в устной форме по билетам. Билет должен содержать два теоретических вопроса. Ответ на теоретические вопросы преподавателям рекомендуется оценивать по следующей шкале: получены полные или достаточно полные ответы на вопросы – оценка "зачтено", получены неполные ответы на вопросы или не получены ответы на вопросы – оценка "не зачтено". Оценку преподавателям рекомендуется выставлять с учётом оценки на ответ по билету и результатов расчетно-графических и контрольных работ.</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r>
        <w:rPr/>
        <w:t xml:space="preserve">1. Мещерский, И. В. Задачи по теоретической механике : учеб. пособие для студентов вузов, обучающихся по техническим специальностям / И. В. Мещерский ; под ред. В. А. Пальмова, Д. Р. Меркина. - Изд. 45-е, стер. - Санкт-Петербург ; Москва ; Краснодар : Лань, 2006. - 448 с.</w:t>
      </w:r>
    </w:p>
    <w:p>
      <w:pPr/>
      <w:r>
        <w:rPr/>
        <w:t xml:space="preserve">2. Сборник заданий для курсовых работ по теоретической механике : учеб. пособие для высш. техн. учеб. заведений / [А. А. Яблонский [и др.] ; под ред. А. А. Яблонского. - Изд. 16-изд., стер. - Москва : Интеграл-Пресс, 2008. - 382 с.</w:t>
      </w:r>
    </w:p>
    <w:p>
      <w:pPr/>
      <w:r>
        <w:rPr/>
        <w:t xml:space="preserve">3. Тарг, С. М. Краткий курс теоретической механики : учеб. для студентов высш. техн. вузов / С. М. Тарг. - Изд. 18-е, стер. - Москва : Высшая школа, 2008. - 416 с.</w:t>
      </w:r>
    </w:p>
    <w:p>
      <w:pPr/>
      <w:r>
        <w:rPr/>
        <w:t xml:space="preserve">4. Теоретическая механика [Электронный ресурс] : учебник для бакалавров : электронная копия / Зегежда С. А., Поляхов Н. Н., Юшков М. П. - 3-е изд. - Электрон. текстовые дан. - Москва : Юрайт, 2012. - (Электронные учебники издательства "Юрайт").</w:t>
      </w:r>
    </w:p>
    <w:p>
      <w:pPr>
        <w:jc w:val="both"/>
        <w:ind w:left="0" w:right="0" w:firstLine="570" w:hanging="0"/>
        <w:spacing w:before="240" w:after="240"/>
      </w:pPr>
      <w:r>
        <w:rPr>
          <w:b w:val="1"/>
          <w:bCs w:val="1"/>
        </w:rPr>
        <w:t xml:space="preserve">8.2. Дополнительная литература:</w:t>
      </w:r>
    </w:p>
    <w:p>
      <w:pPr/>
      <w:r>
        <w:rPr/>
        <w:t xml:space="preserve">1. Бать, М. И. Теоретическая механика в примерах и задачах : Статика и кинематика : Учеб.пособие для студентов вузов. - 10-е изд.,перераб.,доп. - Санкт-Петербург : Политехника, 1995. - 669 с.</w:t>
      </w:r>
    </w:p>
    <w:p>
      <w:pPr/>
      <w:r>
        <w:rPr/>
        <w:t xml:space="preserve">2. Бать, М. И. Теоретическая механика в примерах и задачах : учебное пособие для студентов высших технических учебных заведений / М. И. Бать, Г. Ю. Джанелидзе, А. С. Кельзон ; под ред. Д. Р. Меркина, Т. 1, Статика и кинематика. - 8-е изд., перераб. - Москва : Наука, 1984.</w:t>
      </w:r>
    </w:p>
    <w:p>
      <w:pPr/>
      <w:r>
        <w:rPr/>
        <w:t xml:space="preserve">3. Бать, М. И. Теоретическая механика в примерах и задачах : учеб. пособие для втузов / М. И. Бать, Г. Ю. Джанелидзе, А. С. Кельзон ; под ред. Д. Р. Меркина, Т. 2, Динамика. - Изд. 7-е, перераб. - Москва : Наука, 1985. - 559 с.</w:t>
      </w:r>
    </w:p>
    <w:p>
      <w:pPr/>
      <w:r>
        <w:rPr/>
        <w:t xml:space="preserve">4. Кирсанов, М. Н. Теоретическая механика : статика : кинематика : динамика : решения в системе </w:t>
      </w:r>
      <w:r>
        <w:rPr/>
        <w:t xml:space="preserve">MAPLE</w:t>
      </w:r>
      <w:r>
        <w:rPr/>
        <w:t xml:space="preserve"> </w:t>
      </w:r>
      <w:r>
        <w:rPr/>
        <w:t xml:space="preserve">V</w:t>
      </w:r>
      <w:r>
        <w:rPr/>
        <w:t xml:space="preserve"> / М. Н. Кирсанов. - Изд. 2-е, испр. - Москва : ФИЗМАТЛИТ, 2008. - 384 с.</w:t>
      </w:r>
    </w:p>
    <w:p>
      <w:pPr/>
      <w:r>
        <w:rPr/>
        <w:t xml:space="preserve">5. Сборник коротких задач по теоретической механике : учебное пособие для студентов вузов, обучающихся по направлению и специальностям в области техники и технологий / [О. Э. Кепе [и др.] ; под ред. О. Э. Кепе. - Изд. 2-е, стер. - Санкт-Петербург ; Москва ; Краснодар : Лань, 2009. - 368 с.</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Теоретическая механика. Электронный учебный курс для студентов очной и заочной форм обучения  [Электронный ресурс] / [авт. проекта: И. Каримов].  - URL:  </w:t>
      </w:r>
      <w:hyperlink r:id="rId7" w:history="1">
        <w:r>
          <w:rPr/>
          <w:t xml:space="preserve">http://www.teoretmeh.ru</w:t>
        </w:r>
      </w:hyperlink>
      <w:r>
        <w:rPr/>
        <w:t xml:space="preserve">. - (20.04.2016).</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1"/>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1"/>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2021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863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teoretmeh.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2026-04-21T03:56:55+03:00</dcterms:created>
  <dcterms:modified xsi:type="dcterms:W3CDTF">2026-04-21T03:56:55+03:00</dcterms:modified>
</cp:coreProperties>
</file>

<file path=docProps/custom.xml><?xml version="1.0" encoding="utf-8"?>
<Properties xmlns="http://schemas.openxmlformats.org/officeDocument/2006/custom-properties" xmlns:vt="http://schemas.openxmlformats.org/officeDocument/2006/docPropsVTypes"/>
</file>