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УСТОЙЧИВОСТЬ ОБЪЕКТОВ ЭКОНОМИКИ В ЧС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Устойчивость объектов экономики в ЧС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Предупреждение чрезвычайных ситуаций в техносфере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Основы устойчивости функционирования объектов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Мероприятия по повышению устойчивости функционирования объектов экономики в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Основные опасности в техносфере и принципы их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Экономика России и безопасность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безопасности объектов экономики. Основные направления и мероприятия обеспечения безопасности потенциально опасных объектов. Основы государственной политики в области обеспечения промышленной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по повышению устойчивости функционирования отраслей промышленности, транспорта, топливно-энергетического комплекса, сельскохозяйственного производства. Основные направления повышения устойчивости функционирования ОЭ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устойчивого функционирования объектов экономики и территорий, основные требования законодательных и нормативных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мероприятий по обеспечению устойчивого функционирования отраслевых и территориальных звеньев экономики. Особенности планирования мероприятий по повышению устойчивости в различных режимах функционирования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опасностей. Источники опасностей в промышленности.Классификация чрезвычайных ситуаций техногенного характера. Основные принципы нормирования опасностей в техносфере.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РФ и проблема обеспечения безопасности населения и территорий. Принципы формирования техносферных регионов.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особенности техносферных регионов, их структура. Функциональные зоны города, структура промышленной зоны. Концепция современного градостроительства. Перспективы развития техносферных регионов.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законодательных и нормативных актов по вопросам предупреждения аварий и катастроф в техносфере, обеспечения безопасности потенциально опасных технологий и производств.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мероприятий по обеспечению безопасности объектов экономики. Организационно-планирующие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обеспечения безопасности населения в техносфере. Директива ЕС по Севезо - основной документ по обеспечению безопасности в промышленности, принятый в странах Западной Европы.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законодательных и нормативных актов в области устойчивого функционирования объектов экономики и территорий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по повышению устойчивости функционирования отраслей топливно-энергетического комплекса, химической промышленности, металлургии и машиностроительного комплекса.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нормативных документов в сфере обеспечения безопасности в промышленности.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законодательных и нормативных актов по вопросам предупреждения аварий и катастроф в техносфере, обеспечения безопасности потенциально опасных технологий и производств. Принципы обеспечения безопасности населения в техносфере. Директива ЕС по Севезо - основной документ по обеспечению безопасности в промышленности, принятый в странах Западной Европы.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по повышению устойчивости функционирования отраслей промышленности, транспорта, топливно-энергетического комплекса, сельскохозяйственного производства. Основные направления повышения устойчивости функционирования ОЭ. Нормативно-правовая база устойчивого функционирования объектов экономики и территорий, основные требования законодательных и нормативных актов.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норм международного гуманитарного права по обеспечению защиты гражданского населения и гражданских объектов.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планирования мероприятий по повышению устойчивости в различных режимах функционирования РСЧС.  Требования по ПУФ отраслей топливно-энергетического комплекса, химической промышленности, металлургии и машиностроительного комплекса. Подготовка к зачету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нормативных документов в сфере обеспечения безопасности в промышленности. Классификация чрезвычайных ситуаций техногенного характера. Подготовка к зачету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РФ и проблема обеспечения безопасности населения и территорий. Принципы формирования техносферных регионов.Функциональные зоны города, структура промышленной зоны. Концепция современного градостроительства.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tbl>
      <w:tblGrid>
        <w:gridCol w:w="3000" w:type="dxa"/>
      </w:tblGrid>
      <w:tblPr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Оценка «отлично»</w:t>
            </w:r>
            <w:r>
              <w:rPr/>
      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</w:t>
            </w:r>
            <w:r>
              <w:rPr/>
              <w:t xml:space="preserve"> </w:t>
            </w:r>
            <w:r>
              <w:rPr/>
              <w:t xml:space="preserve">свободном оперировании понятиями, умении выделить существенные и несущественные его</w:t>
            </w:r>
            <w:r>
              <w:rPr/>
              <w:t xml:space="preserve"> </w:t>
            </w:r>
            <w:r>
              <w:rPr/>
              <w:t xml:space="preserve">признаки, причинно-следственные связи. Ответ формулируется в терминах науки, изложен</w:t>
            </w:r>
            <w:r>
              <w:rPr/>
              <w:t xml:space="preserve"> </w:t>
            </w:r>
            <w:r>
              <w:rPr/>
              <w:t xml:space="preserve">литературным языком, логичен, доказателен, демонстрирует авторскую позицию студента.</w:t>
            </w:r>
          </w:p>
          <w:p>
            <w:pPr/>
            <w:r>
              <w:rPr>
                <w:b w:val="1"/>
                <w:bCs w:val="1"/>
              </w:rPr>
              <w:t xml:space="preserve">Оценка «хорошо»</w:t>
            </w:r>
            <w:r>
              <w:rPr/>
      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      </w:r>
          </w:p>
          <w:p>
            <w:pPr/>
            <w:r>
              <w:rPr>
                <w:b w:val="1"/>
                <w:bCs w:val="1"/>
              </w:rPr>
              <w:t xml:space="preserve">Оценка «удовлетворительно»</w:t>
            </w:r>
            <w:r>
              <w:rPr/>
      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</w:t>
            </w:r>
            <w:r>
              <w:rPr/>
              <w:t xml:space="preserve"> </w:t>
            </w:r>
            <w:r>
              <w:rPr/>
              <w:t xml:space="preserve">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      </w:r>
          </w:p>
          <w:p>
            <w:pPr/>
            <w:r>
              <w:rPr>
                <w:b w:val="1"/>
                <w:bCs w:val="1"/>
              </w:rPr>
              <w:t xml:space="preserve">Оценка «неудовлетворительно»</w:t>
            </w:r>
            <w:r>
              <w:rPr/>
              <w:t xml:space="preserve"> выставляется студенту, если дан неполный ответ,</w:t>
            </w:r>
            <w:r>
              <w:rPr/>
              <w:t xml:space="preserve"> </w:t>
            </w:r>
            <w:r>
              <w:rPr/>
              <w:t xml:space="preserve">представляющий собой разрозненные знания по теме вопроса с существенными ошибками в</w:t>
            </w:r>
            <w:r>
              <w:rPr/>
              <w:t xml:space="preserve"> </w:t>
            </w:r>
            <w:r>
              <w:rPr/>
              <w:t xml:space="preserve">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</w:t>
            </w:r>
            <w:r>
              <w:rPr/>
              <w:t xml:space="preserve"> </w:t>
            </w:r>
            <w:r>
              <w:rPr/>
              <w:t xml:space="preserve">поставленный вопрос, но и на другие вопросы дисциплины.</w:t>
            </w:r>
          </w:p>
        </w:tc>
      </w:tr>
      <w:tr>
        <w:trPr/>
        <w:tc>
          <w:tcPr>
            <w:tcW w:w="3000" w:type="dxa"/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Организация и ведение ГО и защиты населения и территорий от ЧС природного и техногенного характера: учебное пособие / под ред. Г.Н. Кирилова. - М.: Институт риска и безопасности, 2010. -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yadi</w:t>
      </w:r>
      <w:r>
        <w:rPr/>
        <w:t xml:space="preserve">.</w:t>
      </w:r>
      <w:r>
        <w:rPr/>
        <w:t xml:space="preserve">sk</w:t>
      </w:r>
      <w:r>
        <w:rPr/>
        <w:t xml:space="preserve">/</w:t>
      </w:r>
      <w:r>
        <w:rPr/>
        <w:t xml:space="preserve">d</w:t>
      </w:r>
      <w:r>
        <w:rPr/>
        <w:t xml:space="preserve">/</w:t>
      </w:r>
      <w:r>
        <w:rPr/>
        <w:t xml:space="preserve">FzQrdMyReskhm</w:t>
      </w:r>
    </w:p>
    <w:p>
      <w:pPr>
        <w:numPr>
          <w:ilvl w:val="0"/>
          <w:numId w:val="1"/>
        </w:numPr>
      </w:pPr>
      <w:r>
        <w:rPr/>
        <w:t xml:space="preserve">Гражданская оборона / Под общ. ред. В.А. Пучкова; МЧС России. — М.: ФГБУ ВНИИ ГОЧС (ФЦ), 2016. — 377 с. - Режим доступа: </w:t>
      </w:r>
      <w:hyperlink r:id="rId7" w:history="1">
        <w:r>
          <w:rPr/>
          <w:t xml:space="preserve">http://mtsz.tatarstan.ru/rus/file/pub/pub_1167883.pdf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Федеральный закон РФ «О защите населения и территорий от чрезвычайных ситуаций природного и техногенного характера» от 12.12.1994 г. №68-ФЗ.</w:t>
      </w:r>
      <w:br/>
      <w:r>
        <w:rPr/>
        <w:t xml:space="preserve">2. Федеральный закон РФ «О промышленной безопасности опасных производственных объектов» от 21.07.1997 г. № 116-ФЗ.</w:t>
      </w:r>
      <w:br/>
      <w:r>
        <w:rPr/>
        <w:t xml:space="preserve">3. Федеральный закон РФ «О гражданской обороне» от 12.02.1998 г. №28-ФЗ (ред. от 29.06.2015 №171-ФЗ).</w:t>
      </w:r>
      <w:br/>
      <w:r>
        <w:rPr/>
        <w:t xml:space="preserve">4. Федеральный закон от 6 марта 2006 г. N 35-ФЗ «О противодействии терроризму».</w:t>
      </w:r>
      <w:br/>
      <w:r>
        <w:rPr/>
        <w:t xml:space="preserve">5. Указ президента РФ «Положение о министерстве Российской Федера-ции по делам гражданской обороны, чрезвычайным ситуациям и ликвидации последствий стихийных бедствий» от 11.07.2004 г. № 868.</w:t>
      </w:r>
      <w:br/>
      <w:r>
        <w:rPr/>
        <w:t xml:space="preserve">6. Постановление Правительства РФ «О единой государственной систе-ме предупреждения и ликвидации чрезвычайных ситуаций» от 12.2003 г. №794.</w:t>
      </w:r>
      <w:br/>
      <w:r>
        <w:rPr/>
        <w:t xml:space="preserve">7. Постановление Правительства Российской Федерации «Положение о гражданской обороне» от 26.11.2007 г. № 804.</w:t>
      </w:r>
      <w:br/>
      <w:r>
        <w:rPr/>
        <w:t xml:space="preserve">8. Женевские конвенции о защите жертв войны от 12 августа 1949 г. и дополнительные протоколы к ним.</w:t>
      </w:r>
      <w:br/>
      <w:r>
        <w:rPr/>
        <w:t xml:space="preserve">9. Приказ МО СССР № 75 от 16 февраля 1990 г. «Об объявлении Женевских конвенций о защите жертв войны от 12 августа 1949 г. и дополнительных протоколов к ним».</w:t>
      </w:r>
      <w:br/>
      <w:r>
        <w:rPr/>
        <w:t xml:space="preserve">10. СП 165.1325800.2014 «Инженерно-технические мероприятия по гражданской обороне». Актуализированная редакция СНиП 2.01.51-90.</w:t>
      </w:r>
    </w:p>
    <w:p>
      <w:pPr/>
      <w:r>
        <w:rPr/>
        <w:t xml:space="preserve">11. Постановление Правительства РФ от 21.05.2007 г. № 304 «О классификации чрезвычайных ситуаций природного и техногенного характера».</w:t>
      </w:r>
    </w:p>
    <w:p>
      <w:pPr/>
      <w:r>
        <w:rPr/>
        <w:t xml:space="preserve">12. Постановление Правительства РФ от 21.05.2007 г. № 304 «О классификации чрезвычайных ситуаций природного и техногенного характера».</w:t>
      </w:r>
    </w:p>
    <w:p>
      <w:pPr/>
      <w:r>
        <w:rPr/>
        <w:t xml:space="preserve">13. Постановление Правительства РФ от 21.05.2007 г. № 304 «О классификации чрезвычайных ситуаций природного и техногенного характера».</w:t>
      </w:r>
    </w:p>
    <w:p>
      <w:pPr/>
      <w:r>
        <w:rPr/>
        <w:t xml:space="preserve">14. Распоряжение Правительства Республики Карелия от 22.05.2013 №277р-П «Об утверждении Перечня территорий, на которых требуется создание комплексной системы экстренного оповещения населения».</w:t>
      </w:r>
    </w:p>
    <w:p>
      <w:pPr/>
      <w:r>
        <w:rPr/>
        <w:t xml:space="preserve">15. Градостроительный кодекс РФ от 29.12.2004 № 190-ФЗ.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Электронно-библиотечная система «Университетская библиотека онлайн» – http://biblioclub.ru.</w:t>
      </w:r>
      <w:br/>
      <w:r>
        <w:rPr/>
        <w:t xml:space="preserve">2. Научная электронная библиотека eLIBRARY.RU – https://elibrary.ru.</w:t>
      </w:r>
      <w:br/>
      <w:r>
        <w:rPr/>
        <w:t xml:space="preserve">3. ЮРАЙТ электронная библиотека – https://biblio-online.ru.</w:t>
      </w:r>
      <w:br/>
      <w:r>
        <w:rPr/>
        <w:t xml:space="preserve">4. Некоммерческая интернет-версия «Консультант плюс» – http://www.consultant.ru/cons/cgi/online.cgi?req=home;rnd=0.9156779677191516.</w:t>
      </w:r>
      <w:br/>
      <w:r>
        <w:rPr/>
        <w:t xml:space="preserve">5. Электронный фонд правовой и нормативно-технической документации – http://www.docs.сntd.ru.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2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208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tsz.tatarstan.ru/rus/file/pub/pub_116788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2026-04-21T02:10:09+03:00</dcterms:created>
  <dcterms:modified xsi:type="dcterms:W3CDTF">2026-04-21T02:10:09+03:00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