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</w:t>
            </w:r>
          </w:p>
          <w:p/>
          <w:p>
            <w:pPr/>
            <w:r>
              <w:rPr/>
              <w:t xml:space="preserve">ПК-1.2. Владеет и организует сбор, обработку и передачу информации по вопросам условий и охраны труда;</w:t>
            </w:r>
          </w:p>
          <w:p/>
          <w:p>
            <w:pPr/>
            <w:r>
              <w:rPr/>
              <w:t xml:space="preserve">ПК-1.3. Знает и использует основные методы и приемы оценки и снижения профессиональных рисков с учетом условий труда;</w:t>
            </w:r>
          </w:p>
          <w:p/>
          <w:p>
            <w:pPr/>
            <w:r>
              <w:rPr/>
              <w:t xml:space="preserve">ПК-1.4. Способен организовывать обучение персонала организации по вопросам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Гражданская оборона, Безопасность жизнедеятельности.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населения при террористической и экстремистской угрозе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0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92D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FE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A06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2026-04-21T03:57:22+03:00</dcterms:created>
  <dcterms:modified xsi:type="dcterms:W3CDTF">2026-04-21T03:57:22+03:00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