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ОЗНАКОМИТЕЛЬНАЯ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Практика по получению первичных профессиональных умений и навыков.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Закрепление теоретических знаний и получение обучающимися теоретических и практических знаний в сфере профессиональной юридической деятельности;</w:t>
      </w:r>
    </w:p>
    <w:p>
      <w:pPr>
        <w:numPr>
          <w:ilvl w:val="0"/>
          <w:numId w:val="1"/>
        </w:numPr>
      </w:pPr>
      <w:r>
        <w:rPr/>
        <w:t xml:space="preserve">Формирование общекультурных, общепрофессиональных и профессиональных компетенций обучающихся в процессе выполнения определенных видов работ в сфере профессиональной юридической деятельности;</w:t>
      </w:r>
    </w:p>
    <w:p>
      <w:pPr>
        <w:numPr>
          <w:ilvl w:val="0"/>
          <w:numId w:val="1"/>
        </w:numPr>
      </w:pPr>
      <w:r>
        <w:rPr/>
        <w:t xml:space="preserve">Формирование у обучающихся первичных профессиональных умений и навыков.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формирование осознания значимости своей будущей профессии, достаточного уровня профессионального правосознания;</w:t>
      </w:r>
    </w:p>
    <w:p>
      <w:pPr>
        <w:numPr>
          <w:ilvl w:val="0"/>
          <w:numId w:val="2"/>
        </w:numPr>
      </w:pPr>
      <w:r>
        <w:rPr/>
        <w:t xml:space="preserve">формирование способности добросовестно исполнять профессиональные обязанности, соблюдать принципы этики юриста;</w:t>
      </w:r>
    </w:p>
    <w:p>
      <w:pPr>
        <w:numPr>
          <w:ilvl w:val="0"/>
          <w:numId w:val="2"/>
        </w:numPr>
      </w:pPr>
      <w:r>
        <w:rPr/>
        <w:t xml:space="preserve">приобретение опыта работы в трудовых коллективах при решении производственно-правовых вопросов;</w:t>
      </w:r>
    </w:p>
    <w:p>
      <w:pPr>
        <w:numPr>
          <w:ilvl w:val="0"/>
          <w:numId w:val="2"/>
        </w:numPr>
      </w:pPr>
      <w:r>
        <w:rPr/>
        <w:t xml:space="preserve">закрепление теоретических знаний, полученных при изучении базовых дисциплин;</w:t>
      </w:r>
    </w:p>
    <w:p>
      <w:pPr>
        <w:numPr>
          <w:ilvl w:val="0"/>
          <w:numId w:val="2"/>
        </w:numPr>
      </w:pPr>
      <w:r>
        <w:rPr/>
        <w:t xml:space="preserve">усвоение навыков поиска, обработки и использования информации при решении вопросов, возникающих при осуществлении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изучение нормативно-правовой базы организации, организационной структуры организации и действующей в ней системы управления, освоение приемов, методов и способов осуществления юридических действий в организации;</w:t>
      </w:r>
    </w:p>
    <w:p>
      <w:pPr>
        <w:numPr>
          <w:ilvl w:val="0"/>
          <w:numId w:val="2"/>
        </w:numPr>
      </w:pPr>
      <w:r>
        <w:rPr/>
        <w:t xml:space="preserve">получение первичных профессиональных умений и навыков, изучение и участие в разработке нормативных правовых документов для решения отдельных задач по месту прохождения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 Петрозаводске. Возможные места ее проведения:</w:t>
      </w:r>
    </w:p>
    <w:p>
      <w:pPr>
        <w:numPr>
          <w:ilvl w:val="0"/>
          <w:numId w:val="3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3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3"/>
        </w:numPr>
      </w:pPr>
      <w:r>
        <w:rPr/>
        <w:t xml:space="preserve">следственные органы, органы внутренних дел: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Петрозаводску.</w:t>
      </w:r>
    </w:p>
    <w:p>
      <w:pPr/>
      <w:r>
        <w:rPr/>
        <w:t xml:space="preserve"> Выездная практика проводится вне г. Петрозаводска. Возможные места ее проведения:</w:t>
      </w:r>
    </w:p>
    <w:p>
      <w:pPr>
        <w:numPr>
          <w:ilvl w:val="0"/>
          <w:numId w:val="4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 и других регионов РФ;</w:t>
      </w:r>
    </w:p>
    <w:p>
      <w:pPr>
        <w:numPr>
          <w:ilvl w:val="0"/>
          <w:numId w:val="4"/>
        </w:numPr>
      </w:pPr>
      <w:r>
        <w:rPr/>
        <w:t xml:space="preserve">следственные органы и органы внутренних дел в районах и городах Республики Карелия, а также других регионов РФ.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нормативные правовые акты, регулирующие общественные отношения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основы законодательного процесса и особенности создания проектов  нормативных правовых актов в различных отраслях права;
ПК-1.2. Знает особенности общественных отношений, регулируемых различными отраслями права;
ПК-1.3. Умеет разрабатывать нормативные правовые акты в различных отраслях права с учетом особенностей регулируемых общественных отношений;
ПК-1.4. Владеет навыками разработки нормативных правовых актов, регулирующих общественные отношения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
ПК-2.2. Знает основные методы обобщения правоприменительной практики в конкретных сферах юридической деятельности;
ПК-2.3. Умеет проверять соответствие квалифицирующих признаков конкретного юридического факта, признакам, содержащимися в нормах права;
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
ПК-2.5. Владеет навыками самостоятельного применения действующих правовых норм для решения задач профессиональной деятельности;
ПК-2.6. Владеет навыками практической реализации норм материального и процессуального права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ознакомительная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3, 4,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9 зач. ед.</w:t>
      </w:r>
      <w:br/>
      <w:r>
        <w:rPr/>
        <w:t xml:space="preserve">Продолжительность практики 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программы и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программы и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программы и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практики, подготовка к публичной защите результатов (итоговый этап)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учебной практики могут быть применены следующие образовательные технологии:</w:t>
      </w:r>
    </w:p>
    <w:p>
      <w:pPr>
        <w:numPr>
          <w:ilvl w:val="0"/>
          <w:numId w:val="5"/>
        </w:numPr>
      </w:pPr>
      <w:r>
        <w:rPr/>
        <w:t xml:space="preserve">составление таблиц и схем;</w:t>
      </w:r>
    </w:p>
    <w:p>
      <w:pPr>
        <w:numPr>
          <w:ilvl w:val="0"/>
          <w:numId w:val="5"/>
        </w:numPr>
      </w:pPr>
      <w:r>
        <w:rPr/>
        <w:t xml:space="preserve">встречи с представителями государственных органов и органов местного самоуправления, общественных объединений;</w:t>
      </w:r>
    </w:p>
    <w:p>
      <w:pPr>
        <w:numPr>
          <w:ilvl w:val="0"/>
          <w:numId w:val="5"/>
        </w:numPr>
      </w:pPr>
      <w:r>
        <w:rPr/>
        <w:t xml:space="preserve">другое.</w:t>
      </w:r>
    </w:p>
    <w:p>
      <w:pPr/>
      <w:r>
        <w:rPr/>
        <w:t xml:space="preserve">научно-исследовательские технологии:</w:t>
      </w:r>
    </w:p>
    <w:p>
      <w:pPr>
        <w:numPr>
          <w:ilvl w:val="0"/>
          <w:numId w:val="6"/>
        </w:numPr>
      </w:pPr>
      <w:r>
        <w:rPr/>
        <w:t xml:space="preserve">подготовка обзора научной литературы по теме, презентация, «мини-конференция», «круглый стол».</w:t>
      </w:r>
    </w:p>
    <w:p>
      <w:pPr/>
      <w:r>
        <w:rPr/>
        <w:t xml:space="preserve">научно-производственные технологии:</w:t>
      </w:r>
    </w:p>
    <w:p>
      <w:pPr>
        <w:numPr>
          <w:ilvl w:val="0"/>
          <w:numId w:val="7"/>
        </w:numPr>
      </w:pPr>
      <w:r>
        <w:rPr/>
        <w:t xml:space="preserve">составление юридического документа,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аттестации по итогам учебной практики необходимо предоставить:</w:t>
      </w:r>
    </w:p>
    <w:p>
      <w:pPr>
        <w:numPr>
          <w:ilvl w:val="0"/>
          <w:numId w:val="8"/>
        </w:numPr>
      </w:pPr>
      <w:r>
        <w:rPr/>
        <w:t xml:space="preserve">Отчет о прохождении практики по установленной форме: титульный лист, текст отчета (начинается на следующей страницы и пишется от первого лица), приложения (если имеются).</w:t>
      </w:r>
    </w:p>
    <w:p>
      <w:pPr/>
      <w:r>
        <w:rPr/>
        <w:t xml:space="preserve">        В тексте отчета обучающийся также должен отразить выполнение индивидуальных заданий во время прохождения практики (составление юридических процессуальных документов, таблиц, схем и др.), которые оформляются Приложениями к отчету (каждое Приложение оформляется с новой страницы и последующей нумерацией - Приложение 1, Приложение 2, Приложение 3 и т.д.). В тексте отчета они также называются и комментируются с пометкой в скобках (н-р: Приложение № 1, Приложение № 2, Приложение № 3 и т.д.)</w:t>
      </w:r>
    </w:p>
    <w:p>
      <w:pPr>
        <w:numPr>
          <w:ilvl w:val="0"/>
          <w:numId w:val="9"/>
        </w:numPr>
      </w:pPr>
      <w:r>
        <w:rPr/>
        <w:t xml:space="preserve">Дневник по установленной форме.</w:t>
      </w:r>
    </w:p>
    <w:p>
      <w:pPr>
        <w:numPr>
          <w:ilvl w:val="0"/>
          <w:numId w:val="9"/>
        </w:numPr>
      </w:pPr>
      <w:r>
        <w:rPr/>
        <w:t xml:space="preserve">Характеристика.</w:t>
      </w:r>
    </w:p>
    <w:p>
      <w:pPr/>
      <w:r>
        <w:rPr/>
        <w:t xml:space="preserve"> Обучающимся необходимо:</w:t>
      </w:r>
    </w:p>
    <w:p>
      <w:pPr>
        <w:numPr>
          <w:ilvl w:val="0"/>
          <w:numId w:val="10"/>
        </w:numPr>
      </w:pPr>
      <w:r>
        <w:rPr/>
        <w:t xml:space="preserve">соблюдать при подготовке отчетов и дневников установленные формы;</w:t>
      </w:r>
    </w:p>
    <w:p>
      <w:pPr>
        <w:numPr>
          <w:ilvl w:val="0"/>
          <w:numId w:val="10"/>
        </w:numPr>
      </w:pPr>
      <w:r>
        <w:rPr/>
        <w:t xml:space="preserve">после аттестации размещать отчетные документы по практике в электронном Портфолио обучающегося в виде файлов титульного листа отчета, отчета с приложениями (если имеются), скан-копий дневника и характеристики.</w:t>
      </w:r>
    </w:p>
    <w:p>
      <w:pPr/>
      <w:r>
        <w:rPr>
          <w:b w:val="1"/>
          <w:bCs w:val="1"/>
        </w:rPr>
        <w:t xml:space="preserve">Примерная программа учебной практики в судах:</w:t>
      </w:r>
    </w:p>
    <w:p>
      <w:pPr/>
      <w:r>
        <w:rPr/>
        <w:t xml:space="preserve">Практика в суде начинается с изучения положений нормативных правовых актов, регулирующих функционирование судебной системы РФ (ФКЗ «О судебной системе РФ», ФКЗ «О судах общей юрисдикции», ФКЗ «Об арбитражных судах в РФ» и другие).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1"/>
        </w:numPr>
      </w:pPr>
      <w:r>
        <w:rPr/>
        <w:t xml:space="preserve">содержанием инструкции по делопроизводству;</w:t>
      </w:r>
    </w:p>
    <w:p>
      <w:pPr>
        <w:numPr>
          <w:ilvl w:val="0"/>
          <w:numId w:val="11"/>
        </w:numPr>
      </w:pPr>
      <w:r>
        <w:rPr/>
        <w:t xml:space="preserve">распределением обязанностей между работниками канцелярии;</w:t>
      </w:r>
    </w:p>
    <w:p>
      <w:pPr>
        <w:numPr>
          <w:ilvl w:val="0"/>
          <w:numId w:val="11"/>
        </w:numPr>
      </w:pPr>
      <w:r>
        <w:rPr/>
        <w:t xml:space="preserve">организацией приема граждан;</w:t>
      </w:r>
    </w:p>
    <w:p>
      <w:pPr>
        <w:numPr>
          <w:ilvl w:val="0"/>
          <w:numId w:val="11"/>
        </w:numPr>
      </w:pPr>
      <w:r>
        <w:rPr/>
        <w:t xml:space="preserve">приемом и отправкой корреспонденции;</w:t>
      </w:r>
    </w:p>
    <w:p>
      <w:pPr>
        <w:numPr>
          <w:ilvl w:val="0"/>
          <w:numId w:val="11"/>
        </w:numPr>
      </w:pPr>
      <w:r>
        <w:rPr/>
        <w:t xml:space="preserve">приемом и учетом кассационных жалоб и протестов;</w:t>
      </w:r>
    </w:p>
    <w:p>
      <w:pPr>
        <w:numPr>
          <w:ilvl w:val="0"/>
          <w:numId w:val="11"/>
        </w:numPr>
      </w:pPr>
      <w:r>
        <w:rPr/>
        <w:t xml:space="preserve">порядком извещения и вызова в суд лиц, участвующих в рассмотрении дел.</w:t>
      </w:r>
    </w:p>
    <w:p>
      <w:pPr/>
      <w:r>
        <w:rPr/>
        <w:t xml:space="preserve">Обучающиеся знакомятся с организацией работы:</w:t>
      </w:r>
    </w:p>
    <w:p>
      <w:pPr>
        <w:numPr>
          <w:ilvl w:val="0"/>
          <w:numId w:val="12"/>
        </w:numPr>
      </w:pPr>
      <w:r>
        <w:rPr/>
        <w:t xml:space="preserve">секретаря судебного заседания и его обязанностями;</w:t>
      </w:r>
    </w:p>
    <w:p>
      <w:pPr>
        <w:numPr>
          <w:ilvl w:val="0"/>
          <w:numId w:val="12"/>
        </w:numPr>
      </w:pPr>
      <w:r>
        <w:rPr/>
        <w:t xml:space="preserve">помощника судьи и его обязанностями;</w:t>
      </w:r>
    </w:p>
    <w:p>
      <w:pPr>
        <w:numPr>
          <w:ilvl w:val="0"/>
          <w:numId w:val="12"/>
        </w:numPr>
      </w:pPr>
      <w:r>
        <w:rPr/>
        <w:t xml:space="preserve">судьи при проведении приема граждан, подготовкой, назначением дел к судебному разбирательству, а также уясняют основы взаимодействия с органами прокуратуры и МВД;</w:t>
      </w:r>
    </w:p>
    <w:p>
      <w:pPr>
        <w:numPr>
          <w:ilvl w:val="0"/>
          <w:numId w:val="12"/>
        </w:numPr>
      </w:pPr>
      <w:r>
        <w:rPr/>
        <w:t xml:space="preserve">изучают основы взаимодействия судов с Федеральной службой судебных приставов.</w:t>
      </w:r>
    </w:p>
    <w:p>
      <w:pPr/>
      <w:r>
        <w:rPr>
          <w:b w:val="1"/>
          <w:bCs w:val="1"/>
        </w:rPr>
        <w:t xml:space="preserve">Примерная программа учебной практики в органах внутренних дел:</w:t>
      </w:r>
    </w:p>
    <w:p>
      <w:pPr/>
      <w:r>
        <w:rPr/>
        <w:t xml:space="preserve">В ходе прохождения практики обучающиеся знакомятся с:</w:t>
      </w:r>
    </w:p>
    <w:p>
      <w:pPr>
        <w:numPr>
          <w:ilvl w:val="0"/>
          <w:numId w:val="13"/>
        </w:numPr>
      </w:pPr>
      <w:r>
        <w:rPr/>
        <w:t xml:space="preserve">нормативно-правовыми актами, касающимися осуществления деятельности в органах внутренних дел;</w:t>
      </w:r>
    </w:p>
    <w:p>
      <w:pPr>
        <w:numPr>
          <w:ilvl w:val="0"/>
          <w:numId w:val="13"/>
        </w:numPr>
      </w:pPr>
      <w:r>
        <w:rPr/>
        <w:t xml:space="preserve">структурой соответствующего органа по месту прохождения практики (с составлением его схемы);</w:t>
      </w:r>
    </w:p>
    <w:p>
      <w:pPr>
        <w:numPr>
          <w:ilvl w:val="0"/>
          <w:numId w:val="13"/>
        </w:numPr>
      </w:pPr>
      <w:r>
        <w:rPr/>
        <w:t xml:space="preserve">направлений деятельности подразделения экономической безопасности и противодействия коррупции, участкового, уполномоченного по делам несовершеннолетних, дознавателя, эксперта-криминалиста, дежурного по органу внутренних дел (по направлениям деятельности должна быть составлена схема);</w:t>
      </w:r>
    </w:p>
    <w:p>
      <w:pPr>
        <w:numPr>
          <w:ilvl w:val="0"/>
          <w:numId w:val="13"/>
        </w:numPr>
      </w:pPr>
      <w:r>
        <w:rPr/>
        <w:t xml:space="preserve">форм и методов межведомственного взаимодействия;</w:t>
      </w:r>
    </w:p>
    <w:p>
      <w:pPr>
        <w:numPr>
          <w:ilvl w:val="0"/>
          <w:numId w:val="13"/>
        </w:numPr>
      </w:pPr>
      <w:r>
        <w:rPr/>
        <w:t xml:space="preserve">делопроизводства в секретариате органа внутренних дел (порядок приема, регистрации и передачи на исполнение поступающей корреспонденции и отправки всех исходящих служебных документов; правил учета и хранения документов; порядка контроля за исполнением документов).</w:t>
      </w:r>
    </w:p>
    <w:p>
      <w:pPr/>
      <w:r>
        <w:rPr/>
        <w:t xml:space="preserve">При наличии возможности обучающиеся знакомятся с обстановкой изолятора временного содержания задержанных по подозрению в совершении преступления, криминалистической техникой, работой кинолога, сотрудника информационного центра Главного управления (управления) МВД по субъекту Российской Федерации.</w:t>
      </w:r>
    </w:p>
    <w:p>
      <w:pPr/>
      <w:r>
        <w:rPr>
          <w:b w:val="1"/>
          <w:bCs w:val="1"/>
        </w:rPr>
        <w:t xml:space="preserve">Примерная программа учебной практики в следственных отделах Следственного управления Следственного Комитета РФ по Республике Карелия и др.:</w:t>
      </w:r>
    </w:p>
    <w:p>
      <w:pPr/>
      <w:r>
        <w:rPr/>
        <w:t xml:space="preserve">Практика в органах Следственного Комитета РФ начинается с освоения умений практической реализации Федерального закона РФ от 28.12.2010 N 403-ФЗ "О Следственном комитете Российской Федерации" и соответствующих приказов Председателя Следственного Комитета Российской Федерации.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4"/>
        </w:numPr>
      </w:pPr>
      <w:r>
        <w:rPr/>
        <w:t xml:space="preserve">структурой Следственного Комитета РФ;</w:t>
      </w:r>
    </w:p>
    <w:p>
      <w:pPr>
        <w:numPr>
          <w:ilvl w:val="0"/>
          <w:numId w:val="14"/>
        </w:numPr>
      </w:pPr>
      <w:r>
        <w:rPr/>
        <w:t xml:space="preserve">организацией делопроизводства в органах СК РФ;</w:t>
      </w:r>
    </w:p>
    <w:p>
      <w:pPr>
        <w:numPr>
          <w:ilvl w:val="0"/>
          <w:numId w:val="14"/>
        </w:numPr>
      </w:pPr>
      <w:r>
        <w:rPr/>
        <w:t xml:space="preserve">планированием и отчетностью работы органов СК РФ;</w:t>
      </w:r>
    </w:p>
    <w:p>
      <w:pPr>
        <w:numPr>
          <w:ilvl w:val="0"/>
          <w:numId w:val="14"/>
        </w:numPr>
      </w:pPr>
      <w:r>
        <w:rPr/>
        <w:t xml:space="preserve">порядком приема, регистрации передачи на исполнение поступающей корреспонденции и отправки всех исходящих из органов СК РФ служебных документов;</w:t>
      </w:r>
    </w:p>
    <w:p>
      <w:pPr>
        <w:numPr>
          <w:ilvl w:val="0"/>
          <w:numId w:val="14"/>
        </w:numPr>
      </w:pPr>
      <w:r>
        <w:rPr/>
        <w:t xml:space="preserve">правилами учета и хранения документов;</w:t>
      </w:r>
    </w:p>
    <w:p>
      <w:pPr>
        <w:numPr>
          <w:ilvl w:val="0"/>
          <w:numId w:val="14"/>
        </w:numPr>
      </w:pPr>
      <w:r>
        <w:rPr/>
        <w:t xml:space="preserve">оформлением и ведением надзорных производств;</w:t>
      </w:r>
    </w:p>
    <w:p>
      <w:pPr>
        <w:numPr>
          <w:ilvl w:val="0"/>
          <w:numId w:val="14"/>
        </w:numPr>
      </w:pPr>
      <w:r>
        <w:rPr/>
        <w:t xml:space="preserve">порядком контроля за исполнением документов;</w:t>
      </w:r>
    </w:p>
    <w:p>
      <w:pPr>
        <w:numPr>
          <w:ilvl w:val="0"/>
          <w:numId w:val="14"/>
        </w:numPr>
      </w:pPr>
      <w:r>
        <w:rPr/>
        <w:t xml:space="preserve">порядком приема, регистрации и рассмотрения заявлений и сообщений о совершенных и готовящихся преступлениях в органах СК РФ;</w:t>
      </w:r>
    </w:p>
    <w:p>
      <w:pPr>
        <w:numPr>
          <w:ilvl w:val="0"/>
          <w:numId w:val="14"/>
        </w:numPr>
      </w:pPr>
      <w:r>
        <w:rPr/>
        <w:t xml:space="preserve">порядком возбуждения и расследования уголовных дел;</w:t>
      </w:r>
    </w:p>
    <w:p>
      <w:pPr>
        <w:numPr>
          <w:ilvl w:val="0"/>
          <w:numId w:val="14"/>
        </w:numPr>
      </w:pPr>
      <w:r>
        <w:rPr/>
        <w:t xml:space="preserve">методиками расследования отдельных видов преступлений.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индивидуальные задания для проведения практики.; дневник.; отчет о прохождении практики.; характеристика..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Индивидуальные задания для проведения практики.</w:t>
      </w:r>
    </w:p>
    <w:p>
      <w:pPr/>
      <w:r>
        <w:rPr/>
        <w:t xml:space="preserve">Перечень индивидуальных заданий для проведения практики:</w:t>
      </w:r>
    </w:p>
    <w:p>
      <w:pPr>
        <w:numPr>
          <w:ilvl w:val="0"/>
          <w:numId w:val="15"/>
        </w:numPr>
      </w:pPr>
      <w:r>
        <w:rPr/>
        <w:t xml:space="preserve">изучение нормативных правовых актов, регулирующих функционирование судебной системы РФ, МВД РФ и следственных отделов ОВД, органов Следственного комитета РФ;</w:t>
      </w:r>
    </w:p>
    <w:p>
      <w:pPr>
        <w:numPr>
          <w:ilvl w:val="0"/>
          <w:numId w:val="15"/>
        </w:numPr>
      </w:pPr>
      <w:r>
        <w:rPr/>
        <w:t xml:space="preserve">знакомство с правилами внутреннего трудового распорядка, правилами техники безопасности на рабочем месте и правилами деловой этики в судах, органах СК РФ, в органах следствия МВД РФ;</w:t>
      </w:r>
    </w:p>
    <w:p>
      <w:pPr>
        <w:numPr>
          <w:ilvl w:val="0"/>
          <w:numId w:val="15"/>
        </w:numPr>
      </w:pPr>
      <w:r>
        <w:rPr/>
        <w:t xml:space="preserve">изучение нормативных документов МВД РФ по вопросам следственной работы и дознания;</w:t>
      </w:r>
    </w:p>
    <w:p>
      <w:pPr>
        <w:numPr>
          <w:ilvl w:val="0"/>
          <w:numId w:val="15"/>
        </w:numPr>
      </w:pPr>
      <w:r>
        <w:rPr/>
        <w:t xml:space="preserve">знакомство с методикой и тактикой производства следственных действий:  осмотра места происшествия, вещественных доказательств, следственных экспериментов, обысков и др.;</w:t>
      </w:r>
    </w:p>
    <w:p>
      <w:pPr>
        <w:numPr>
          <w:ilvl w:val="0"/>
          <w:numId w:val="15"/>
        </w:numPr>
      </w:pPr>
      <w:r>
        <w:rPr/>
        <w:t xml:space="preserve">знакомство с  порядком назначения судебных заседаний, их процедурой и порядком исполнения вступившего в законную силу судебного решения;</w:t>
      </w:r>
    </w:p>
    <w:p>
      <w:pPr>
        <w:numPr>
          <w:ilvl w:val="0"/>
          <w:numId w:val="15"/>
        </w:numPr>
      </w:pPr>
      <w:r>
        <w:rPr/>
        <w:t xml:space="preserve">посещение судебных заседаний по гражданским, административным, уголовным делам (не менее 7 заседаний).</w:t>
      </w:r>
    </w:p>
    <w:p>
      <w:pPr>
        <w:numPr>
          <w:ilvl w:val="0"/>
          <w:numId w:val="15"/>
        </w:numPr>
      </w:pPr>
      <w:r>
        <w:rPr/>
        <w:t xml:space="preserve">знакомство с порядком возбуждения и расследования уголовных дел в органах Следственного Комитета РФ.</w:t>
      </w:r>
    </w:p>
    <w:p>
      <w:pPr>
        <w:numPr>
          <w:ilvl w:val="0"/>
          <w:numId w:val="15"/>
        </w:numPr>
      </w:pPr>
      <w:r>
        <w:rPr/>
        <w:t xml:space="preserve">знакомство с Положением о юридической клинике ПетрГУ, с Правилами работы в юридической клинике ПетрГУ, с процедурой оказания юридической помощи гражданам: консультаций, разъяснений, подготовкой процессуальных документов.</w:t>
      </w:r>
    </w:p>
    <w:p>
      <w:pPr>
        <w:numPr>
          <w:ilvl w:val="0"/>
          <w:numId w:val="15"/>
        </w:numPr>
      </w:pPr>
      <w:r>
        <w:rPr/>
        <w:t xml:space="preserve">знакомство с организацией делопроизводства и участие в осуществлении делопроизводства в судах, органах СК РФ, в органах следствия МВД РФ;</w:t>
      </w:r>
    </w:p>
    <w:p>
      <w:pPr>
        <w:numPr>
          <w:ilvl w:val="0"/>
          <w:numId w:val="15"/>
        </w:numPr>
      </w:pPr>
      <w:r>
        <w:rPr/>
        <w:t xml:space="preserve">подготовка процессуальных документов гражданского, уголовного и административного судопроизводства: повесток в суд, исковых заявлений, обращений  и др.;</w:t>
      </w:r>
    </w:p>
    <w:p>
      <w:pPr>
        <w:numPr>
          <w:ilvl w:val="0"/>
          <w:numId w:val="15"/>
        </w:numPr>
      </w:pPr>
      <w:r>
        <w:rPr/>
        <w:t xml:space="preserve">составление проекта  решения, постановления или определения суда.</w:t>
      </w:r>
    </w:p>
    <w:p>
      <w:pPr>
        <w:numPr>
          <w:ilvl w:val="0"/>
          <w:numId w:val="15"/>
        </w:numPr>
      </w:pPr>
      <w:r>
        <w:rPr/>
        <w:t xml:space="preserve">составление проектов процессуальных документов под руководством прокурора, следователя ОВД, следователя органов СК РФ.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Дневник.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 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практики.</w:t>
      </w:r>
    </w:p>
    <w:p>
      <w:pPr/>
      <w:r>
        <w:rPr>
          <w:b w:val="1"/>
          <w:bCs w:val="1"/>
        </w:rPr>
        <w:t xml:space="preserve">Требования к оформлению отчета:</w:t>
      </w:r>
    </w:p>
    <w:p>
      <w:pPr>
        <w:numPr>
          <w:ilvl w:val="0"/>
          <w:numId w:val="16"/>
        </w:numPr>
      </w:pPr>
      <w:r>
        <w:rPr/>
        <w:t xml:space="preserve">объем – не менее 2-х стр. А4 основного текста + Приложения 3-5 стр. А4;</w:t>
      </w:r>
    </w:p>
    <w:p>
      <w:pPr>
        <w:numPr>
          <w:ilvl w:val="0"/>
          <w:numId w:val="16"/>
        </w:numPr>
      </w:pPr>
      <w:r>
        <w:rPr/>
        <w:t xml:space="preserve">поля: левое — 20 мм; правое — 10 мм; верхнее — 20 мм; нижнее — 20 мм.</w:t>
      </w:r>
    </w:p>
    <w:p>
      <w:pPr>
        <w:numPr>
          <w:ilvl w:val="0"/>
          <w:numId w:val="16"/>
        </w:numPr>
      </w:pPr>
      <w:r>
        <w:rPr/>
        <w:t xml:space="preserve">шрифт «Times New Roman», размер - 14, полуторный интервал.</w:t>
      </w:r>
    </w:p>
    <w:p>
      <w:pPr/>
      <w:r>
        <w:rPr>
          <w:b w:val="1"/>
          <w:bCs w:val="1"/>
        </w:rPr>
        <w:t xml:space="preserve">План отчета: </w:t>
      </w:r>
    </w:p>
    <w:p>
      <w:pPr>
        <w:numPr>
          <w:ilvl w:val="0"/>
          <w:numId w:val="17"/>
        </w:numPr>
      </w:pPr>
      <w:r>
        <w:rPr/>
        <w:t xml:space="preserve">Каковы назначение и цели деятельности, организации (учреждения), в которой обучающийся проходил практику?</w:t>
      </w:r>
    </w:p>
    <w:p>
      <w:pPr>
        <w:numPr>
          <w:ilvl w:val="0"/>
          <w:numId w:val="17"/>
        </w:numPr>
      </w:pPr>
      <w:r>
        <w:rPr/>
        <w:t xml:space="preserve">Каково место организации в системе органов государственной власти, государственного управления и (или) правосудия?</w:t>
      </w:r>
    </w:p>
    <w:p>
      <w:pPr>
        <w:numPr>
          <w:ilvl w:val="0"/>
          <w:numId w:val="17"/>
        </w:numPr>
      </w:pPr>
      <w:r>
        <w:rPr/>
        <w:t xml:space="preserve">Какова организационная структура организации (учреждения), в которой обучающийся проходил учебную практику?</w:t>
      </w:r>
    </w:p>
    <w:p>
      <w:pPr>
        <w:numPr>
          <w:ilvl w:val="0"/>
          <w:numId w:val="17"/>
        </w:numPr>
      </w:pPr>
      <w:r>
        <w:rPr/>
        <w:t xml:space="preserve">На основании каких учредительных документов функционирует данная организация (учреждение)?</w:t>
      </w:r>
    </w:p>
    <w:p>
      <w:pPr>
        <w:numPr>
          <w:ilvl w:val="0"/>
          <w:numId w:val="17"/>
        </w:numPr>
      </w:pPr>
      <w:r>
        <w:rPr/>
        <w:t xml:space="preserve">Какими основными нормативными правовыми актами руководствуется в своей деятельности данная организация (учреждение)?</w:t>
      </w:r>
    </w:p>
    <w:p>
      <w:pPr>
        <w:numPr>
          <w:ilvl w:val="0"/>
          <w:numId w:val="17"/>
        </w:numPr>
      </w:pPr>
      <w:r>
        <w:rPr/>
        <w:t xml:space="preserve">Каковы полномочия организации в соответствии с регулирующими ее деятельность управомочивающими нормативными правовыми актами?</w:t>
      </w:r>
    </w:p>
    <w:p>
      <w:pPr>
        <w:numPr>
          <w:ilvl w:val="0"/>
          <w:numId w:val="17"/>
        </w:numPr>
      </w:pPr>
      <w:r>
        <w:rPr/>
        <w:t xml:space="preserve">Какие знания, умения и навыки были приобретены / развиты в результате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задания были выполнены в ходе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документы (проекты документов) были составлены в ходе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материалы для подготовки отчета были собраны в процессе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выводы (суждения, умозаключения) сделаны обучающимся по итогам прохождения учебной практики?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Характеристика.</w:t>
      </w:r>
    </w:p>
    <w:p>
      <w:pPr/>
      <w:r>
        <w:rPr/>
        <w:t xml:space="preserve">Требования к содержанию характеристики:</w:t>
      </w:r>
    </w:p>
    <w:p>
      <w:pPr/>
      <w:r>
        <w:rPr/>
        <w:t xml:space="preserve">Заглавие по центру: Характеристика на обучающегося курса, очной формы обучения, направления подготовки 40.03.01 Юриспруденция (уровень бакалавриата) Института экономики и права ФГБОУ ВО "Петрозаводский государственный университет "  ФИО обучающегося  полностью. Должно быть описание обучающегося как на титульном листе Отчета.</w:t>
      </w:r>
    </w:p>
    <w:p>
      <w:pPr/>
      <w:r>
        <w:rPr/>
        <w:t xml:space="preserve">Должно присутствовать название практики согласно учебному плану – Учебная.</w:t>
      </w:r>
    </w:p>
    <w:p>
      <w:pPr/>
      <w:r>
        <w:rPr/>
        <w:t xml:space="preserve">Должен быть указан хронологический период практики: даты с … по ….</w:t>
      </w:r>
    </w:p>
    <w:p>
      <w:pPr/>
      <w:r>
        <w:rPr/>
        <w:t xml:space="preserve">В тексте Характеристики называется нормативно-правовая база, которую изучили, виды юрид. деятельности, которые прошли: посещение судебных заседаний, помощь в подготовке процессуальных документов, выполнение поручений  помощника судьи таких-то... То есть описывается юридическое содержание практики, но в отличие от Отчета кратко, сжато, ёмко.</w:t>
      </w:r>
    </w:p>
    <w:p>
      <w:pPr/>
      <w:r>
        <w:rPr/>
        <w:t xml:space="preserve">"Самовосхваление" недопустимо, о положительных качествах, проявленных в работе, сказать надо сжато: одно-два предложения в одном абзаце (например, "К выполнению порученных заданий относился/ась добросовестно, в работе проявил/а дисциплинированность, внимательность, заинтересованность. В общении вежлив/а, корректен/на").</w:t>
      </w:r>
    </w:p>
    <w:p>
      <w:pPr/>
      <w:r>
        <w:rPr/>
        <w:t xml:space="preserve">В случае промежуточной аттестации в виде дифференцированного зачета в конце текста Характеристики указывается рекомендуемая оценка за учебную практику.</w:t>
      </w:r>
    </w:p>
    <w:p>
      <w:pPr/>
      <w:r>
        <w:rPr/>
        <w:t xml:space="preserve">Характеристику подписывает руководитель структурного подразделения, в котором обучающийся проходил практику. В следственных органах МВД, СК это начальник подразделения, руководитель следственного отдела. В Прокуратуре это прокурор, в суде - это мировой судья судебного участка, в Петрозаводском городском суде - это руководитель коллегии административного судопроизводства, гражданского судопроизводства, уголовного судопроизводства.</w:t>
      </w:r>
    </w:p>
    <w:p>
      <w:pPr/>
      <w:r>
        <w:rPr/>
        <w:t xml:space="preserve">Характеристики должны быть заверены гербовой (либо простой) печатью учреждения. Она ставится на подпись руководителя.</w:t>
      </w:r>
    </w:p>
    <w:p>
      <w:pPr/>
      <w:r>
        <w:rPr/>
        <w:t xml:space="preserve">Должность: судья Петрозаводского городского суда   печатать слева     потом    место для подписи    потом на листе на этой же строчке справа  расшифровка подписи: ФИО судьи (Кузнецова И.А.). На подписи судьи печать.</w:t>
      </w:r>
    </w:p>
    <w:p>
      <w:pPr/>
      <w:r>
        <w:rPr/>
        <w:t xml:space="preserve">Объём Характеристики - 1-2 стр. А4.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Результаты учебной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преподавателя.</w:t>
      </w:r>
    </w:p>
    <w:p>
      <w:pPr/>
      <w:r>
        <w:rPr/>
        <w:t xml:space="preserve">При оценке итогов практики принимается во внимание содержание характеристики, полученной обучающимся по результатам прохождения практики, и рекомендуемая в характеристике оценка за практику.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8"/>
        </w:numPr>
      </w:pPr>
      <w:r>
        <w:rPr/>
        <w:t xml:space="preserve">Зеленцов, А. Б.  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2022. — 311 с. — (Высшее образование). — ISBN 978-5-534-07148-1.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https://urait.ru/bcode/494249</w:t>
        </w:r>
      </w:hyperlink>
    </w:p>
    <w:p>
      <w:pPr>
        <w:numPr>
          <w:ilvl w:val="0"/>
          <w:numId w:val="18"/>
        </w:numPr>
      </w:pPr>
      <w:r>
        <w:rPr/>
        <w:t xml:space="preserve">Зеленцов, А. Б.  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2022. — 301 с. — (Высшее образование). — ISBN 978-5-534-07151-1.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https://urait.ru/bcode/494250</w:t>
        </w:r>
      </w:hyperlink>
    </w:p>
    <w:p>
      <w:pPr>
        <w:numPr>
          <w:ilvl w:val="0"/>
          <w:numId w:val="18"/>
        </w:numPr>
      </w:pPr>
      <w:r>
        <w:rPr/>
        <w:t xml:space="preserve">Уголовное право. Общая часть. В 2 т. Том 1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299 с. — (Высшее образование). — ISBN 978-5-534-12766-9.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https://urait.ru/bcode/470468</w:t>
        </w:r>
      </w:hyperlink>
    </w:p>
    <w:p>
      <w:pPr>
        <w:numPr>
          <w:ilvl w:val="0"/>
          <w:numId w:val="18"/>
        </w:numPr>
      </w:pPr>
      <w:r>
        <w:rPr/>
        <w:t xml:space="preserve">Уголовное право. Общая часть. В 2 т. Том 2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280 с. — (Высшее образование). — ISBN 978-5-534-12767-6.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https://urait.ru/bcode/470469</w:t>
        </w:r>
      </w:hyperlink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Правоохранительные органы : учебник и практикум для вузов / М. П. Поляков [и др.] ; под общей редакцией М. П. Полякова. — Москва : Издательство Юрайт, 2022. — 362 с. — (Высшее образование). — ISBN 978-5-9916-7897-1.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https://urait.ru/bcode/488358</w:t>
        </w:r>
      </w:hyperlink>
    </w:p>
    <w:p>
      <w:pPr>
        <w:numPr>
          <w:ilvl w:val="0"/>
          <w:numId w:val="18"/>
        </w:numPr>
      </w:pPr>
      <w:r>
        <w:rPr/>
        <w:t xml:space="preserve">Административное право России : учебник и практикум для вузов / А. И. Стахов [и др.] ; под редакцией А. И. Стахова, П. И. Кононова. — 3-е изд., перераб. и доп. — Москва : Издательство Юрайт, 2022. — 484 с. — (Высшее образование). — ISBN 978-5-534-13088-1.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https://urait.ru/bcode/498862</w:t>
        </w:r>
      </w:hyperlink>
    </w:p>
    <w:p>
      <w:pPr/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9"/>
        </w:numPr>
      </w:pPr>
      <w:r>
        <w:rPr/>
        <w:t xml:space="preserve">Гражданский процесс : учебник и практикум для вузов / М. Ю. Лебедев [и др.] ; под редакцией М. Ю. Лебедева. — 6-е изд., перераб. и доп. — Москва : Издательство Юрайт, 2022. — 430 с. — (Высшее образование). — ISBN 978-5-534-15529-7.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https://urait.ru/bcode/508093</w:t>
        </w:r>
      </w:hyperlink>
    </w:p>
    <w:p>
      <w:pPr>
        <w:numPr>
          <w:ilvl w:val="0"/>
          <w:numId w:val="19"/>
        </w:numPr>
      </w:pPr>
      <w:r>
        <w:rPr/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2-е изд. — Москва : Издательство Юрайт, 2022. — 290 с. — (Высшее образование). — ISBN 978-5-534-13102-4.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https://urait.ru/bcode/495480</w:t>
        </w:r>
      </w:hyperlink>
    </w:p>
    <w:p>
      <w:pPr>
        <w:numPr>
          <w:ilvl w:val="0"/>
          <w:numId w:val="19"/>
        </w:numPr>
      </w:pPr>
      <w:r>
        <w:rPr/>
        <w:t xml:space="preserve">Фархутдинов, Р. Д. </w:t>
      </w:r>
      <w:r>
        <w:rPr/>
        <w:t xml:space="preserve"> Налоговое право : учебное пособие для вузов / Р. Д. Фархутдинов. — 2-е изд., перераб. и доп. — Москва : Издательство Юрайт, 2022. — 133 с. — (Высшее образование). — ISBN 978-5-534-15594-5.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https://urait.ru/bcode/509175</w:t>
        </w:r>
      </w:hyperlink>
      <w:r>
        <w:rPr/>
        <w:t xml:space="preserve"> </w:t>
      </w:r>
    </w:p>
    <w:p>
      <w:pPr/>
    </w:p>
    <w:p>
      <w:pPr/>
    </w:p>
    <w:p>
      <w:pPr/>
    </w:p>
    <w:p>
      <w:pPr/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</w:t>
      </w:r>
    </w:p>
    <w:p>
      <w:pPr/>
      <w:r>
        <w:rPr/>
        <w:t xml:space="preserve">Для поиска учебной и научной литературы студенты используют Электронный  каталог  Научной библиотеки ПетрГУ </w:t>
      </w:r>
      <w:hyperlink r:id="rId16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20"/>
        </w:numPr>
      </w:pPr>
      <w:r>
        <w:rPr/>
        <w:t xml:space="preserve">Электронной библиотеки Республики Карелия </w:t>
      </w:r>
      <w:hyperlink r:id="rId17" w:history="1">
        <w:r>
          <w:rPr/>
          <w:t xml:space="preserve">http://elibrary.karelia.ru/</w:t>
        </w:r>
      </w:hyperlink>
    </w:p>
    <w:p>
      <w:pPr>
        <w:numPr>
          <w:ilvl w:val="0"/>
          <w:numId w:val="20"/>
        </w:numPr>
      </w:pPr>
      <w:r>
        <w:rPr/>
        <w:t xml:space="preserve">Образовательная платформа "Юрайт" </w:t>
      </w:r>
      <w:hyperlink r:id="rId18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9" w:history="1">
        <w:r>
          <w:rPr/>
          <w:t xml:space="preserve">http://www.studentlibrary.ru</w:t>
        </w:r>
      </w:hyperlink>
    </w:p>
    <w:p>
      <w:pPr>
        <w:numPr>
          <w:ilvl w:val="0"/>
          <w:numId w:val="20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20" w:history="1">
        <w:r>
          <w:rPr/>
          <w:t xml:space="preserve">http://library.petrsu.ru/collections/bd.shtml</w:t>
        </w:r>
      </w:hyperlink>
    </w:p>
    <w:p>
      <w:pPr>
        <w:numPr>
          <w:ilvl w:val="0"/>
          <w:numId w:val="21"/>
        </w:numPr>
      </w:pPr>
    </w:p>
    <w:p>
      <w:pPr>
        <w:numPr>
          <w:ilvl w:val="1"/>
          <w:numId w:val="21"/>
        </w:numPr>
      </w:pPr>
    </w:p>
    <w:p>
      <w:pPr>
        <w:numPr>
          <w:ilvl w:val="2"/>
          <w:numId w:val="21"/>
        </w:numPr>
      </w:pPr>
    </w:p>
    <w:p>
      <w:pPr>
        <w:numPr>
          <w:ilvl w:val="3"/>
          <w:numId w:val="21"/>
        </w:numPr>
      </w:pPr>
    </w:p>
    <w:p>
      <w:pPr>
        <w:numPr>
          <w:ilvl w:val="4"/>
          <w:numId w:val="21"/>
        </w:numPr>
      </w:pPr>
    </w:p>
    <w:p>
      <w:pPr>
        <w:numPr>
          <w:ilvl w:val="5"/>
          <w:numId w:val="21"/>
        </w:numPr>
      </w:pPr>
    </w:p>
    <w:p>
      <w:pPr>
        <w:numPr>
          <w:ilvl w:val="6"/>
          <w:numId w:val="21"/>
        </w:numPr>
      </w:pPr>
    </w:p>
    <w:p>
      <w:pPr>
        <w:numPr>
          <w:ilvl w:val="7"/>
          <w:numId w:val="21"/>
        </w:numPr>
      </w:pPr>
    </w:p>
    <w:p>
      <w:pPr>
        <w:numPr>
          <w:ilvl w:val="8"/>
          <w:numId w:val="21"/>
        </w:numPr>
      </w:pPr>
    </w:p>
    <w:p>
      <w:pPr>
        <w:numPr>
          <w:ilvl w:val="9"/>
          <w:numId w:val="21"/>
        </w:numPr>
      </w:pPr>
    </w:p>
    <w:p>
      <w:pPr>
        <w:numPr>
          <w:ilvl w:val="10"/>
          <w:numId w:val="21"/>
        </w:numPr>
      </w:pPr>
    </w:p>
    <w:p>
      <w:pPr>
        <w:numPr>
          <w:ilvl w:val="11"/>
          <w:numId w:val="21"/>
        </w:numPr>
      </w:pPr>
    </w:p>
    <w:p>
      <w:pPr>
        <w:numPr>
          <w:ilvl w:val="12"/>
          <w:numId w:val="21"/>
        </w:numPr>
      </w:pPr>
    </w:p>
    <w:p>
      <w:pPr>
        <w:numPr>
          <w:ilvl w:val="13"/>
          <w:numId w:val="21"/>
        </w:numPr>
      </w:pPr>
    </w:p>
    <w:p>
      <w:pPr>
        <w:numPr>
          <w:ilvl w:val="14"/>
          <w:numId w:val="21"/>
        </w:numPr>
      </w:pPr>
    </w:p>
    <w:p>
      <w:pPr>
        <w:numPr>
          <w:ilvl w:val="15"/>
          <w:numId w:val="21"/>
        </w:numPr>
      </w:pPr>
    </w:p>
    <w:p>
      <w:pPr>
        <w:numPr>
          <w:ilvl w:val="16"/>
          <w:numId w:val="21"/>
        </w:numPr>
      </w:pPr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2E8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D0F1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CD6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18F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268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65A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301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E5F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C97A9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F29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5CC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02C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598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95D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B59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EF9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1609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F87E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F94F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9D08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CC2DDE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4249" TargetMode="External"/><Relationship Id="rId8" Type="http://schemas.openxmlformats.org/officeDocument/2006/relationships/hyperlink" Target="https://urait.ru/bcode/494250" TargetMode="External"/><Relationship Id="rId9" Type="http://schemas.openxmlformats.org/officeDocument/2006/relationships/hyperlink" Target="https://urait.ru/bcode/470468" TargetMode="External"/><Relationship Id="rId10" Type="http://schemas.openxmlformats.org/officeDocument/2006/relationships/hyperlink" Target="https://urait.ru/bcode/470469" TargetMode="External"/><Relationship Id="rId11" Type="http://schemas.openxmlformats.org/officeDocument/2006/relationships/hyperlink" Target="https://urait.ru/bcode/488358" TargetMode="External"/><Relationship Id="rId12" Type="http://schemas.openxmlformats.org/officeDocument/2006/relationships/hyperlink" Target="https://urait.ru/bcode/498862" TargetMode="External"/><Relationship Id="rId13" Type="http://schemas.openxmlformats.org/officeDocument/2006/relationships/hyperlink" Target="https://urait.ru/bcode/508093" TargetMode="External"/><Relationship Id="rId14" Type="http://schemas.openxmlformats.org/officeDocument/2006/relationships/hyperlink" Target="https://urait.ru/bcode/495480" TargetMode="External"/><Relationship Id="rId15" Type="http://schemas.openxmlformats.org/officeDocument/2006/relationships/hyperlink" Target="https://urait.ru/bcode/509175" TargetMode="External"/><Relationship Id="rId16" Type="http://schemas.openxmlformats.org/officeDocument/2006/relationships/hyperlink" Target="http://foliant.ru/catalog/psulibr" TargetMode="External"/><Relationship Id="rId17" Type="http://schemas.openxmlformats.org/officeDocument/2006/relationships/hyperlink" Target="http://elibrary.karelia.ru/" TargetMode="External"/><Relationship Id="rId18" Type="http://schemas.openxmlformats.org/officeDocument/2006/relationships/hyperlink" Target="https://urait.ru/" TargetMode="External"/><Relationship Id="rId19" Type="http://schemas.openxmlformats.org/officeDocument/2006/relationships/hyperlink" Target="http://www.studentlibrary.ru" TargetMode="External"/><Relationship Id="rId20" Type="http://schemas.openxmlformats.org/officeDocument/2006/relationships/hyperlink" Target="http://library.petrsu.ru/collections/bd.shtml" TargetMode="External"/><Relationship Id="rId2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2026-04-21T11:18:41+03:00</dcterms:created>
  <dcterms:modified xsi:type="dcterms:W3CDTF">2026-04-21T11:18:41+03:00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