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Сравнительное правоведение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особая отрасль правового знания.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особая отрасль правового 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основных правовых систем современности.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Романо-германская правовая семья.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семья общего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Религиозные и традиционные правовые семьи.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Смешанные правовые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правовая система.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 Основные источники и система права Романо-германской правовой семьи.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 Источники права и система права в странах англосаксонской правовой семьи. Значение и место общего права в правовой системе. Судебный прецедент. Соотношение нормативно-правовых актов и судебных прецедентов. Правовая система Шотландии. Правовая система США. Правовые системы стран Британского Содружества.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Мусульманская правовая система. Становление мусульманского права. Источники мусульманского права. Особенности структуры мусульманского права. Индусское право. Социально-экономические, исторические и религиозные корни индусского права. Источники индусского права. Влияние английского общего права на индусского права. Механизмы действия индусского права. Общая характеристика дальневосточного права. Особенности дальневосточного понимания права. Конфуцианское и легистское понимание права. Правовая система КНР. Правовая система Японии. История и география распространения обычного права. Особенности африканской правовой семьи. Особенности права племён Тропической Африки и Океании. Африканское обычное право и современное законодательство. Влияние колониального права на африканское обычное право. Современные правовые системы африканских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Сравнительное правоведение как наука, её предмет. Понятие типологии и классификации правовых систем современности. Критерии правовой типологии и классификации. Понятие правовой системы в сравнительном правоведение. Правовая карта мира. Национальная правовая система. Семья правовых систем. Классификация правовых систем. Критерии формирования источников, структуры, основных понятий и институтов права правовых семей. Основные семьи современных правовых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рабочей программой и тематичес­ким планом изучение дисциплины проходит в виде аудиторной и самостоятельной работы студентов. Учеб­ный процесс в аудитории осуществляется в форме лекционных и семинарских занятий. Важнейшей задачей, реализуемой в процессе проведения аудиторных занятий,  </w:t>
      </w:r>
      <w:r>
        <w:rPr/>
        <w:t xml:space="preserve">является формирование компетентностного подхода.</w:t>
      </w:r>
    </w:p>
    <w:p>
      <w:pPr/>
      <w:r>
        <w:rPr/>
        <w:t xml:space="preserve">Образовательные технологии, способствующие формированию компетенций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лекционного типа: </w:t>
      </w:r>
    </w:p>
    <w:p>
      <w:pPr/>
      <w:r>
        <w:rPr/>
        <w:t xml:space="preserve">- лекции-беседы с использованием мультимедийных средств поддержки образовательного процесса;</w:t>
      </w:r>
    </w:p>
    <w:p>
      <w:pPr/>
      <w:r>
        <w:rPr/>
        <w:t xml:space="preserve">- лекции с проблемным изложением учебного материала;</w:t>
      </w:r>
    </w:p>
    <w:p>
      <w:pPr/>
      <w:r>
        <w:rPr>
          <w:b w:val="1"/>
          <w:bCs w:val="1"/>
          <w:i w:val="1"/>
          <w:iCs w:val="1"/>
        </w:rPr>
        <w:t xml:space="preserve">используемые на занятиях практического типа: </w:t>
      </w:r>
    </w:p>
    <w:p>
      <w:pPr/>
      <w:r>
        <w:rPr/>
        <w:t xml:space="preserve">- регламентированная самостоятельная деятельность студентов;</w:t>
      </w:r>
    </w:p>
    <w:p>
      <w:pPr/>
      <w:r>
        <w:rPr/>
        <w:t xml:space="preserve">- частично-поисковая деятельность при выполнении методических разработок частей занятия;</w:t>
      </w:r>
    </w:p>
    <w:p>
      <w:pPr/>
      <w:r>
        <w:rPr/>
        <w:t xml:space="preserve">- решение проблемных ситуаций в малых группах для реализации технологии коллективной мыслительной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 формируются преподавателем, исходя из вопросов, изучаемых в модуле, и вопросов для подготовки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наука, её предмет.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в системе юридических наук. Соотношение сравнительного правоведения с другими юридическими науками: теорией государства и права, историей государства и права, отраслевыми юридическими науками, юридическими науками, изучающими международное право.</w:t>
      </w:r>
    </w:p>
    <w:p>
      <w:pPr>
        <w:numPr>
          <w:ilvl w:val="0"/>
          <w:numId w:val="1"/>
        </w:numPr>
      </w:pPr>
      <w:r>
        <w:rPr/>
        <w:t xml:space="preserve">Сравнительное правоведение как метод. Методология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Сравнительный метод как один из частных методов юридической науки.</w:t>
      </w:r>
    </w:p>
    <w:p>
      <w:pPr>
        <w:numPr>
          <w:ilvl w:val="0"/>
          <w:numId w:val="1"/>
        </w:numPr>
      </w:pPr>
      <w:r>
        <w:rPr/>
        <w:t xml:space="preserve">Основные этапы развития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Функции сравнительного правоведения.</w:t>
      </w:r>
    </w:p>
    <w:p>
      <w:pPr>
        <w:numPr>
          <w:ilvl w:val="0"/>
          <w:numId w:val="1"/>
        </w:numPr>
      </w:pPr>
      <w:r>
        <w:rPr/>
        <w:t xml:space="preserve">Понятие типологии и классификации правовых систем современности. Критерии правовой типологии и классификации.</w:t>
      </w:r>
    </w:p>
    <w:p>
      <w:pPr>
        <w:numPr>
          <w:ilvl w:val="0"/>
          <w:numId w:val="1"/>
        </w:numPr>
      </w:pPr>
      <w:r>
        <w:rPr/>
        <w:t xml:space="preserve">Понятие правовой системы в сравнительном правоведение. Правовая карта мира. Национальная правовая система. Семья правовых систем.</w:t>
      </w:r>
    </w:p>
    <w:p>
      <w:pPr>
        <w:numPr>
          <w:ilvl w:val="0"/>
          <w:numId w:val="1"/>
        </w:numPr>
      </w:pPr>
      <w:r>
        <w:rPr/>
        <w:t xml:space="preserve">Классификация правовых систем. Критерии формирования источников, структуры, основных понятий и институтов права правовых семей.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культурные предпосылки возникновения романо-германской правовой семьи. География распространения Романо-германских правовых систем.</w:t>
      </w:r>
    </w:p>
    <w:p>
      <w:pPr>
        <w:numPr>
          <w:ilvl w:val="0"/>
          <w:numId w:val="1"/>
        </w:numPr>
      </w:pPr>
      <w:r>
        <w:rPr/>
        <w:t xml:space="preserve">Основные источники и система права Романо-германской правовой семьи.</w:t>
      </w:r>
    </w:p>
    <w:p>
      <w:pPr>
        <w:numPr>
          <w:ilvl w:val="0"/>
          <w:numId w:val="1"/>
        </w:numPr>
      </w:pPr>
      <w:r>
        <w:rPr/>
        <w:t xml:space="preserve">Французская правовая группа.</w:t>
      </w:r>
    </w:p>
    <w:p>
      <w:pPr>
        <w:numPr>
          <w:ilvl w:val="0"/>
          <w:numId w:val="1"/>
        </w:numPr>
      </w:pPr>
      <w:r>
        <w:rPr/>
        <w:t xml:space="preserve">Германская правовая группа.</w:t>
      </w:r>
    </w:p>
    <w:p>
      <w:pPr>
        <w:numPr>
          <w:ilvl w:val="0"/>
          <w:numId w:val="1"/>
        </w:numPr>
      </w:pPr>
      <w:r>
        <w:rPr/>
        <w:t xml:space="preserve">Особенности правовых систем Скандинавских стран.</w:t>
      </w:r>
    </w:p>
    <w:p>
      <w:pPr>
        <w:numPr>
          <w:ilvl w:val="0"/>
          <w:numId w:val="1"/>
        </w:numPr>
      </w:pPr>
      <w:r>
        <w:rPr/>
        <w:t xml:space="preserve">Правовые системы стран латинской Америки.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формирования английского общего права и системы его источников. География распространения английского общего права.</w:t>
      </w:r>
    </w:p>
    <w:p>
      <w:pPr>
        <w:numPr>
          <w:ilvl w:val="0"/>
          <w:numId w:val="1"/>
        </w:numPr>
      </w:pPr>
      <w:r>
        <w:rPr/>
        <w:t xml:space="preserve">Английское право.</w:t>
      </w:r>
    </w:p>
    <w:p>
      <w:pPr>
        <w:numPr>
          <w:ilvl w:val="0"/>
          <w:numId w:val="1"/>
        </w:numPr>
      </w:pPr>
      <w:r>
        <w:rPr/>
        <w:t xml:space="preserve">Система права в странах англосаксонской правовой семьи. Значение и место общего права в правовой системе.</w:t>
      </w:r>
    </w:p>
    <w:p>
      <w:pPr>
        <w:numPr>
          <w:ilvl w:val="0"/>
          <w:numId w:val="1"/>
        </w:numPr>
      </w:pPr>
      <w:r>
        <w:rPr/>
        <w:t xml:space="preserve">Правовая система Шотландии.</w:t>
      </w:r>
    </w:p>
    <w:p>
      <w:pPr>
        <w:numPr>
          <w:ilvl w:val="0"/>
          <w:numId w:val="1"/>
        </w:numPr>
      </w:pPr>
      <w:r>
        <w:rPr/>
        <w:t xml:space="preserve">Правовая система США.</w:t>
      </w:r>
    </w:p>
    <w:p>
      <w:pPr>
        <w:numPr>
          <w:ilvl w:val="0"/>
          <w:numId w:val="1"/>
        </w:numPr>
      </w:pPr>
      <w:r>
        <w:rPr/>
        <w:t xml:space="preserve">Становление мусульманского права.</w:t>
      </w:r>
    </w:p>
    <w:p>
      <w:pPr>
        <w:numPr>
          <w:ilvl w:val="0"/>
          <w:numId w:val="1"/>
        </w:numPr>
      </w:pPr>
      <w:r>
        <w:rPr/>
        <w:t xml:space="preserve">Источники мусульманского права.</w:t>
      </w:r>
    </w:p>
    <w:p>
      <w:pPr>
        <w:numPr>
          <w:ilvl w:val="0"/>
          <w:numId w:val="1"/>
        </w:numPr>
      </w:pPr>
      <w:r>
        <w:rPr/>
        <w:t xml:space="preserve">Особенности структуры мусульманского права.</w:t>
      </w:r>
    </w:p>
    <w:p>
      <w:pPr>
        <w:numPr>
          <w:ilvl w:val="0"/>
          <w:numId w:val="1"/>
        </w:numPr>
      </w:pPr>
      <w:r>
        <w:rPr/>
        <w:t xml:space="preserve">Социально-экономические, исторические и религиозные корни индусского права.</w:t>
      </w:r>
    </w:p>
    <w:p>
      <w:pPr>
        <w:numPr>
          <w:ilvl w:val="0"/>
          <w:numId w:val="1"/>
        </w:numPr>
      </w:pPr>
      <w:r>
        <w:rPr/>
        <w:t xml:space="preserve">Источники индусского права. Влияние английского общего права на индусского права. Механизмы действия индусского права.</w:t>
      </w:r>
    </w:p>
    <w:p>
      <w:pPr>
        <w:numPr>
          <w:ilvl w:val="0"/>
          <w:numId w:val="1"/>
        </w:numPr>
      </w:pPr>
      <w:r>
        <w:rPr/>
        <w:t xml:space="preserve">Общая характеристика дальневосточного права. Особенности дальневосточного понимания права. Конфуцианское и легистское понимание права.</w:t>
      </w:r>
    </w:p>
    <w:p>
      <w:pPr>
        <w:numPr>
          <w:ilvl w:val="0"/>
          <w:numId w:val="1"/>
        </w:numPr>
      </w:pPr>
      <w:r>
        <w:rPr/>
        <w:t xml:space="preserve">Правовая система КНР.</w:t>
      </w:r>
    </w:p>
    <w:p>
      <w:pPr>
        <w:numPr>
          <w:ilvl w:val="0"/>
          <w:numId w:val="1"/>
        </w:numPr>
      </w:pPr>
      <w:r>
        <w:rPr/>
        <w:t xml:space="preserve">Правовая система Японии.</w:t>
      </w:r>
    </w:p>
    <w:p>
      <w:pPr>
        <w:numPr>
          <w:ilvl w:val="0"/>
          <w:numId w:val="1"/>
        </w:numPr>
      </w:pPr>
      <w:r>
        <w:rPr/>
        <w:t xml:space="preserve">История и география распространения обычного права. Особенности африканской правовой семьи.</w:t>
      </w:r>
    </w:p>
    <w:p>
      <w:pPr>
        <w:numPr>
          <w:ilvl w:val="0"/>
          <w:numId w:val="1"/>
        </w:numPr>
      </w:pPr>
      <w:r>
        <w:rPr/>
        <w:t xml:space="preserve">Понятие смешанных правовых систем. Особенности исторического взаимодействия и сочетания элементов романо-германской и англосаксонской правовых семей.</w:t>
      </w:r>
    </w:p>
    <w:p>
      <w:pPr>
        <w:numPr>
          <w:ilvl w:val="0"/>
          <w:numId w:val="1"/>
        </w:numPr>
      </w:pPr>
      <w:r>
        <w:rPr/>
        <w:t xml:space="preserve">Правовая система Израиля.</w:t>
      </w:r>
    </w:p>
    <w:p>
      <w:pPr>
        <w:numPr>
          <w:ilvl w:val="0"/>
          <w:numId w:val="1"/>
        </w:numPr>
      </w:pPr>
      <w:r>
        <w:rPr/>
        <w:t xml:space="preserve">Правовая система ЮАР. Правовые системы канадской провинции Квебек и американского штата Луизианы.</w:t>
      </w:r>
    </w:p>
    <w:p>
      <w:pPr>
        <w:numPr>
          <w:ilvl w:val="0"/>
          <w:numId w:val="1"/>
        </w:numPr>
      </w:pPr>
      <w:r>
        <w:rPr/>
        <w:t xml:space="preserve">Становление и историческое развитие права восточных славян. Основные этапы развития русского права.</w:t>
      </w:r>
    </w:p>
    <w:p>
      <w:pPr>
        <w:numPr>
          <w:ilvl w:val="0"/>
          <w:numId w:val="1"/>
        </w:numPr>
      </w:pPr>
      <w:r>
        <w:rPr/>
        <w:t xml:space="preserve">Особенности правовой системы Московского государства.</w:t>
      </w:r>
    </w:p>
    <w:p>
      <w:pPr>
        <w:numPr>
          <w:ilvl w:val="0"/>
          <w:numId w:val="1"/>
        </w:numPr>
      </w:pPr>
      <w:r>
        <w:rPr/>
        <w:t xml:space="preserve">Право императорской России.</w:t>
      </w:r>
    </w:p>
    <w:p>
      <w:pPr>
        <w:numPr>
          <w:ilvl w:val="0"/>
          <w:numId w:val="1"/>
        </w:numPr>
      </w:pPr>
      <w:r>
        <w:rPr/>
        <w:t xml:space="preserve">Особенности русской правовой культуры. Особенности русского правосознания.</w:t>
      </w:r>
    </w:p>
    <w:p>
      <w:pPr>
        <w:numPr>
          <w:ilvl w:val="0"/>
          <w:numId w:val="1"/>
        </w:numPr>
      </w:pPr>
      <w:r>
        <w:rPr/>
        <w:t xml:space="preserve">Правовая система СССР и РСФСР.</w:t>
      </w:r>
    </w:p>
    <w:p>
      <w:pPr>
        <w:numPr>
          <w:ilvl w:val="0"/>
          <w:numId w:val="1"/>
        </w:numPr>
      </w:pPr>
      <w:r>
        <w:rPr/>
        <w:t xml:space="preserve">Становление современного российского права. Источники современного российского права. Структура современного российского права. Соотношение российской правовой системы с романо-германской правовой семьёй.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проводится с целью углубления и расширения теоретических знаний,  систематизации и закрепления полученных  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>
      <w:pPr/>
      <w:r>
        <w:rPr/>
        <w:t xml:space="preserve">    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>
      <w:pPr/>
      <w:r>
        <w:rPr/>
        <w:t xml:space="preserve"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>
      <w:pPr/>
      <w:r>
        <w:rPr/>
        <w:t xml:space="preserve">     Формы и виды внеаудиторной самостоятельной работы обучающихся:</w:t>
      </w:r>
    </w:p>
    <w:p>
      <w:pPr>
        <w:numPr>
          <w:ilvl w:val="0"/>
          <w:numId w:val="2"/>
        </w:numPr>
      </w:pPr>
      <w:r>
        <w:rPr/>
        <w:t xml:space="preserve">чтение основной и дополнительной литературы, изучение информации, полученной в системе Интернет;</w:t>
      </w:r>
    </w:p>
    <w:p>
      <w:pPr>
        <w:numPr>
          <w:ilvl w:val="0"/>
          <w:numId w:val="2"/>
        </w:numPr>
      </w:pPr>
      <w:r>
        <w:rPr/>
        <w:t xml:space="preserve">конспектирование источников;</w:t>
      </w:r>
    </w:p>
    <w:p>
      <w:pPr>
        <w:numPr>
          <w:ilvl w:val="0"/>
          <w:numId w:val="2"/>
        </w:numPr>
      </w:pPr>
      <w:r>
        <w:rPr/>
        <w:t xml:space="preserve">подготовка сообщений, докладов, рефератов, презентаций, эссе;</w:t>
      </w:r>
    </w:p>
    <w:p>
      <w:pPr>
        <w:numPr>
          <w:ilvl w:val="0"/>
          <w:numId w:val="2"/>
        </w:numPr>
      </w:pPr>
      <w:r>
        <w:rPr/>
        <w:t xml:space="preserve">выполнение творческих работ, учебных проектов, учебно-исследовательских работ;</w:t>
      </w:r>
    </w:p>
    <w:p>
      <w:pPr>
        <w:numPr>
          <w:ilvl w:val="0"/>
          <w:numId w:val="2"/>
        </w:numPr>
      </w:pPr>
      <w:r>
        <w:rPr/>
        <w:t xml:space="preserve">самостоятельное выполнение практических заданий репродуктивного типа (ответы на вопросы, тесты и т.д.);</w:t>
      </w:r>
    </w:p>
    <w:p>
      <w:pPr>
        <w:numPr>
          <w:ilvl w:val="0"/>
          <w:numId w:val="2"/>
        </w:numPr>
      </w:pPr>
      <w:r>
        <w:rPr/>
        <w:t xml:space="preserve">подготовка к промежуточной аттестации, в том числе путём самостоятельного выполнения практических заданий репродуктивного типа.</w:t>
      </w:r>
    </w:p>
    <w:p>
      <w:pPr/>
      <w:r>
        <w:rPr/>
        <w:t xml:space="preserve">Внеаудиторная самостоятельная работа обучающихся по содержанию может быть разделена на нижеследующие блоки.</w:t>
      </w:r>
    </w:p>
    <w:p>
      <w:pPr/>
      <w:r>
        <w:rPr>
          <w:b w:val="1"/>
          <w:bCs w:val="1"/>
        </w:rPr>
        <w:t xml:space="preserve">Изучение понятийного аппарата дисциплины</w:t>
      </w:r>
    </w:p>
    <w:p>
      <w:pPr/>
      <w:r>
        <w:rPr/>
        <w:t xml:space="preserve"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>
      <w:pPr/>
      <w:r>
        <w:rPr>
          <w:b w:val="1"/>
          <w:bCs w:val="1"/>
        </w:rPr>
        <w:t xml:space="preserve">Изучение тем самостоятельной подготовки по учебно-тематическому плану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>
      <w:pPr/>
      <w:r>
        <w:rPr/>
        <w:t xml:space="preserve"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>
      <w:pPr/>
      <w:r>
        <w:rPr>
          <w:b w:val="1"/>
          <w:bCs w:val="1"/>
        </w:rPr>
        <w:t xml:space="preserve">Работа над основной и дополнительной литературой</w:t>
      </w:r>
    </w:p>
    <w:p>
      <w:pPr/>
      <w:r>
        <w:rPr/>
        <w:t xml:space="preserve"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>
      <w:pPr/>
      <w:r>
        <w:rPr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>
      <w:pPr/>
      <w:r>
        <w:rPr/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</w:t>
      </w:r>
    </w:p>
    <w:p>
      <w:pPr/>
      <w:r>
        <w:rPr>
          <w:b w:val="1"/>
          <w:bCs w:val="1"/>
        </w:rPr>
        <w:t xml:space="preserve">Самоподготовка к практическим занятиям</w:t>
      </w:r>
    </w:p>
    <w:p>
      <w:pPr/>
      <w:r>
        <w:rPr/>
        <w:t xml:space="preserve">При подготовке к практическому занятию необходимо помнить, что данная  дисциплина тесно связана с ранее изучаемыми дисциплинами..</w:t>
      </w:r>
    </w:p>
    <w:p>
      <w:pPr/>
      <w:r>
        <w:rPr/>
        <w:t xml:space="preserve">На семинарских занятиях студент должен уметь последовательно излагать свои мысли и аргументировано их отстаивать.</w:t>
      </w:r>
    </w:p>
    <w:p>
      <w:pPr/>
      <w:r>
        <w:rPr/>
        <w:t xml:space="preserve">Для достижения этой цели необходимо:</w:t>
      </w:r>
    </w:p>
    <w:p>
      <w:pPr/>
      <w:r>
        <w:rPr/>
        <w:t xml:space="preserve">  1) ознакомиться с соответствующей темой программы изучаемой дисциплины;</w:t>
      </w:r>
    </w:p>
    <w:p>
      <w:pPr/>
      <w:r>
        <w:rPr/>
        <w:t xml:space="preserve">  2) осмыслить круг изучаемых вопросов и логику их рассмотрения;</w:t>
      </w:r>
    </w:p>
    <w:p>
      <w:pPr/>
      <w:r>
        <w:rPr/>
        <w:t xml:space="preserve">  3) изучить рекомендованную учебно-методическим комплексом литературу по данной теме;</w:t>
      </w:r>
    </w:p>
    <w:p>
      <w:pPr/>
      <w:r>
        <w:rPr/>
        <w:t xml:space="preserve">  4) тщательно изучить лекционный материал;</w:t>
      </w:r>
    </w:p>
    <w:p>
      <w:pPr/>
      <w:r>
        <w:rPr/>
        <w:t xml:space="preserve">  5) ознакомиться с вопросами очередного семинарского занятия;</w:t>
      </w:r>
    </w:p>
    <w:p>
      <w:pPr/>
      <w:r>
        <w:rPr/>
        <w:t xml:space="preserve">  6) подготовить краткое выступление по каждому из вынесенных на семинарское занятие вопросу.</w:t>
      </w:r>
    </w:p>
    <w:p>
      <w:pPr/>
      <w:r>
        <w:rPr/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>
      <w:pPr/>
      <w:r>
        <w:rPr/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>
      <w:pPr/>
      <w:r>
        <w:rPr>
          <w:b w:val="1"/>
          <w:bCs w:val="1"/>
        </w:rPr>
        <w:t xml:space="preserve">Самостоятельная работа студента при подготовке к экзамену.</w:t>
      </w:r>
    </w:p>
    <w:p>
      <w:pPr/>
      <w:r>
        <w:rPr/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   </w:t>
      </w:r>
    </w:p>
    <w:p>
      <w:pPr/>
      <w:r>
        <w:rPr/>
        <w:t xml:space="preserve">Итоговой формой контроля успеваемости студентов по учебной дисциплине «Теория государства и права» является экзамен.</w:t>
      </w:r>
    </w:p>
    <w:p>
      <w:pPr/>
      <w:r>
        <w:rPr/>
        <w:t xml:space="preserve"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экзамену будет являться концентрированной систематизацией всех полученных знаний по данной дисциплине.</w:t>
      </w:r>
    </w:p>
    <w:p>
      <w:pPr/>
      <w:r>
        <w:rPr/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</w:t>
      </w:r>
    </w:p>
    <w:p>
      <w:pPr/>
      <w:r>
        <w:rPr/>
        <w:t xml:space="preserve">  а) уточняющих вопросов преподавателю;</w:t>
      </w:r>
    </w:p>
    <w:p>
      <w:pPr/>
      <w:r>
        <w:rPr/>
        <w:t xml:space="preserve">  б) подготовки рефератов по отдельным темам, наиболее заинтересовавшие студента;</w:t>
      </w:r>
    </w:p>
    <w:p>
      <w:pPr/>
      <w:r>
        <w:rPr/>
        <w:t xml:space="preserve">  в) самостоятельного уточнения вопросов на смежных дисциплинах;</w:t>
      </w:r>
    </w:p>
    <w:p>
      <w:pPr/>
      <w:r>
        <w:rPr/>
        <w:t xml:space="preserve">  г) углубленного изучения вопросов темы по учебным пособиям.</w:t>
      </w:r>
    </w:p>
    <w:p>
      <w:pPr/>
      <w:r>
        <w:rPr/>
        <w:t xml:space="preserve"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>
      <w:pPr/>
      <w:r>
        <w:rPr/>
        <w:t xml:space="preserve">После изучения соответствующей тематики рекомендуется проверить наличие и формулировки вопроса по этой теме в перечне вопросов к экзамену,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Серегин А. В. Сравнительное правоведение (мир правовых семей). — М.: Юрайт. 2023. 365 с.</w:t>
      </w:r>
    </w:p>
    <w:p>
      <w:pPr>
        <w:numPr>
          <w:ilvl w:val="0"/>
          <w:numId w:val="3"/>
        </w:numPr>
      </w:pPr>
      <w:r>
        <w:rPr/>
        <w:t xml:space="preserve">Чиркин В. Е. Сравнительное государствоведение. Учебное пособие. — СПб.: Норма. 2024. 448 с.</w:t>
      </w:r>
    </w:p>
    <w:p>
      <w:pPr>
        <w:numPr>
          <w:ilvl w:val="0"/>
          <w:numId w:val="3"/>
        </w:numPr>
      </w:pPr>
      <w:r>
        <w:rPr/>
        <w:t xml:space="preserve">Марченко М. Н. Сравнительное правоведение. Учебник. — М.: Проспект. 2024. 784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Адыгезалова Г. Э., Ярыш В. Д. Сравнительное правоведение. Учебник. — М.: Директмедиа Паблишинг. 2023. 188 с.</w:t>
      </w:r>
    </w:p>
    <w:p>
      <w:pPr>
        <w:numPr>
          <w:ilvl w:val="0"/>
          <w:numId w:val="4"/>
        </w:numPr>
      </w:pPr>
      <w:r>
        <w:rPr/>
        <w:t xml:space="preserve">Бирюков П. Н., Галушко Д. В. Сравнительное правоведение. Учебник. — М.: Проспект. 2022. 280 с.</w:t>
      </w:r>
    </w:p>
    <w:p>
      <w:pPr>
        <w:numPr>
          <w:ilvl w:val="0"/>
          <w:numId w:val="4"/>
        </w:numPr>
      </w:pPr>
      <w:r>
        <w:rPr/>
        <w:t xml:space="preserve">Гарашко А. Ю., Сигалов К. Е. Сравнительное правоведение. — М.: Юнити-Дана. 2022. 115 с.</w:t>
      </w:r>
    </w:p>
    <w:p>
      <w:pPr>
        <w:numPr>
          <w:ilvl w:val="0"/>
          <w:numId w:val="4"/>
        </w:numPr>
      </w:pPr>
      <w:r>
        <w:rPr/>
        <w:t xml:space="preserve">Денисенко С. В., Власов В. И., Власова Г. Б. Сравнительное правоведение. Учебное пособие. — М.: КноРус. 2022. 248 с.</w:t>
      </w:r>
    </w:p>
    <w:p>
      <w:pPr>
        <w:numPr>
          <w:ilvl w:val="0"/>
          <w:numId w:val="4"/>
        </w:numPr>
      </w:pPr>
      <w:r>
        <w:rPr/>
        <w:t xml:space="preserve">Егоров А. В. Теория сравнительного правоведения. — М.: Проспект. 2023. 288 с.</w:t>
      </w:r>
    </w:p>
    <w:p>
      <w:pPr>
        <w:numPr>
          <w:ilvl w:val="0"/>
          <w:numId w:val="4"/>
        </w:numPr>
      </w:pPr>
      <w:r>
        <w:rPr/>
        <w:t xml:space="preserve">Захарова М. В. Сравнительное правоведение. Вопросы теории и практики. Монография. — М.: Проспект. 2021. 160 с.</w:t>
      </w:r>
    </w:p>
    <w:p>
      <w:pPr>
        <w:numPr>
          <w:ilvl w:val="0"/>
          <w:numId w:val="4"/>
        </w:numPr>
      </w:pPr>
      <w:r>
        <w:rPr/>
        <w:t xml:space="preserve">Лафитский В.И. Миры права в теории и практике сравнительного правоведения. В 2 т. Т.I. — М.: Проспект. 2023. 680 с.</w:t>
      </w:r>
    </w:p>
    <w:p>
      <w:pPr>
        <w:numPr>
          <w:ilvl w:val="0"/>
          <w:numId w:val="4"/>
        </w:numPr>
      </w:pPr>
      <w:r>
        <w:rPr/>
        <w:t xml:space="preserve">Лундмарк Томас. Очерки сравнительного правоведения. — М.: Алеф-Пресс. 2022. 604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догма романо-германского права. — М.: Юрайт. 2023. 454 с.</w:t>
      </w:r>
    </w:p>
    <w:p>
      <w:pPr>
        <w:numPr>
          <w:ilvl w:val="0"/>
          <w:numId w:val="4"/>
        </w:numPr>
      </w:pPr>
      <w:r>
        <w:rPr/>
        <w:t xml:space="preserve">Михайлов А. М. Сравнительное правоведение: судебная власть в правовой системе Англии. — М.: Юрайт. 2023. 341 с.</w:t>
      </w:r>
    </w:p>
    <w:p>
      <w:pPr>
        <w:numPr>
          <w:ilvl w:val="0"/>
          <w:numId w:val="4"/>
        </w:numPr>
      </w:pPr>
      <w:r>
        <w:rPr/>
        <w:t xml:space="preserve">Оксамытный В. В. Сравнительное правоведение. Учебник. — М.: КноРус. 2023. 222 с.</w:t>
      </w:r>
    </w:p>
    <w:p>
      <w:pPr>
        <w:numPr>
          <w:ilvl w:val="0"/>
          <w:numId w:val="4"/>
        </w:numPr>
      </w:pPr>
      <w:r>
        <w:rPr/>
        <w:t xml:space="preserve">Пашков Р. В. Сравнительное правоведение. Сборник таблиц и схем. — М.: КноРус. 2023.</w:t>
      </w:r>
    </w:p>
    <w:p>
      <w:pPr>
        <w:numPr>
          <w:ilvl w:val="0"/>
          <w:numId w:val="4"/>
        </w:numPr>
      </w:pPr>
      <w:r>
        <w:rPr/>
        <w:t xml:space="preserve">Саидов А. Х. Сравнительное правоведение. Учебник. — М.: НОРМА. 2024. 320 с.</w:t>
      </w:r>
    </w:p>
    <w:p>
      <w:pPr>
        <w:numPr>
          <w:ilvl w:val="0"/>
          <w:numId w:val="4"/>
        </w:numPr>
      </w:pPr>
      <w:r>
        <w:rPr/>
        <w:t xml:space="preserve">Синицын С. А. Сравнительное патентное право: актуальные проблемы. — М.: Инфотропик Медиа. 2022. 416 с.</w:t>
      </w:r>
    </w:p>
    <w:p>
      <w:pPr>
        <w:numPr>
          <w:ilvl w:val="0"/>
          <w:numId w:val="4"/>
        </w:numPr>
      </w:pPr>
      <w:r>
        <w:rPr/>
        <w:t xml:space="preserve">Сравнительное уголовное право. Функции, методы и теоретические концепции / под ред. Кудратов М. А., Печегин Д. А. — М.: Инфотропик Медиа. 2021. 244 с.</w:t>
      </w:r>
    </w:p>
    <w:p>
      <w:pPr>
        <w:numPr>
          <w:ilvl w:val="0"/>
          <w:numId w:val="4"/>
        </w:numPr>
      </w:pPr>
      <w:r>
        <w:rPr/>
        <w:t xml:space="preserve">Шахназаров Б.А. Сравнительное правоведение и установление содержания норм иностранного права в условиях современных вызовов // Актуальные проблемы российского права. 2021. N 9. С. 149 — 160.</w:t>
      </w:r>
    </w:p>
    <w:p>
      <w:pPr>
        <w:numPr>
          <w:ilvl w:val="0"/>
          <w:numId w:val="4"/>
        </w:numPr>
      </w:pPr>
      <w:r>
        <w:rPr/>
        <w:t xml:space="preserve">Шепелев Д. В., Шепелева Д. В. Сравнительное правоведение. — М.: Проспект. 2023. 128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F6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DF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4A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AA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28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2026-04-23T13:58:08+03:00</dcterms:created>
  <dcterms:modified xsi:type="dcterms:W3CDTF">2026-04-23T13:58:08+03:00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