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Приобретение, формирование и совершенствование практических навыков в выполнении профессиональных обязанностей;</w:t>
      </w:r>
    </w:p>
    <w:p>
      <w:pPr>
        <w:numPr>
          <w:ilvl w:val="0"/>
          <w:numId w:val="1"/>
        </w:numPr>
      </w:pPr>
      <w:r>
        <w:rPr/>
        <w:t xml:space="preserve">Углубление и закрепление теоретических и практических знаний, полученных магистрантами при освоении учебных дисциплин;</w:t>
      </w:r>
    </w:p>
    <w:p>
      <w:pPr>
        <w:numPr>
          <w:ilvl w:val="0"/>
          <w:numId w:val="1"/>
        </w:numPr>
      </w:pPr>
      <w:r>
        <w:rPr/>
        <w:t xml:space="preserve">Формирование компетенций обучающихся в процессе выполнения определенных видов работ, связанных с будущей профессиональной деятельностью (правоприменительной, правозащитной деятельности и юридического обслуживания граждан и организаций).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Общее ознакомление с деятельностью, организационно-правовой формой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организационной структуры организации (ведомства) и функций отдельных подразделений;</w:t>
      </w:r>
    </w:p>
    <w:p>
      <w:pPr>
        <w:numPr>
          <w:ilvl w:val="0"/>
          <w:numId w:val="2"/>
        </w:numPr>
      </w:pPr>
      <w:r>
        <w:rPr/>
        <w:t xml:space="preserve">Изучение работы, функций и должностных обязанностей персонала;</w:t>
      </w:r>
    </w:p>
    <w:p>
      <w:pPr>
        <w:numPr>
          <w:ilvl w:val="0"/>
          <w:numId w:val="2"/>
        </w:numPr>
      </w:pPr>
      <w:r>
        <w:rPr/>
        <w:t xml:space="preserve">Изучение законодательных актов, регулирующих деятельность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нормативных документов по вопросам управления в организации (ведомстве);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работы, сбор материалов для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Выработка навыков самостоятельного анализа результатов работы;</w:t>
      </w:r>
    </w:p>
    <w:p>
      <w:pPr>
        <w:numPr>
          <w:ilvl w:val="0"/>
          <w:numId w:val="2"/>
        </w:numPr>
      </w:pPr>
      <w:r>
        <w:rPr/>
        <w:t xml:space="preserve">Получение представления о проблематике профессиональной деятельности в принимающей организации;</w:t>
      </w:r>
    </w:p>
    <w:p>
      <w:pPr>
        <w:numPr>
          <w:ilvl w:val="0"/>
          <w:numId w:val="2"/>
        </w:numPr>
      </w:pPr>
      <w:r>
        <w:rPr/>
        <w:t xml:space="preserve">Развитие навыков делового профессионального общения с соблюдением требований делового этикета 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
ОПК-1.2. Анализирует нестандартные ситуации правоприменительной практики и предлагает оптимальные варианты их решения;
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
ОПК-2.2. Осуществляет самостоятельную подготовку экспертных юридических заключений и проводит экспертизу нормативных (индивидуальных) правовых актов;
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
ОПК-3.2. Осуществляет квалифицированное толкование правовых актов;
ОПК-3.3. Владеет навыками квалифицированного толкования правовых актов с учетов их особенностей и специфики.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содержание основных и специфических юридических понятий, терминов и определений;
ОПК-4.2. Умеет письменно и устно  аргументировать правовую позицию по делу, в том числе с учетом принципа состязательности судопроизводства;
ОПК-4.3. Владеет навыками профессиональной аргументации при оценке и обосновании принимаемых решений по делу;
ОПК-4.4. Владеет навыками составления юридических документов по делу;
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
ОПК-5.2. Самостоятельно составляет юридические документы и разрабатывает проекты нормативных (индивидуальных) правовых актов;
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специфику этических норм в профессиональной юридической деятельности;
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
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
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
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3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3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3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3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3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3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3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3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3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3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3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3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4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4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4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5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5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5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5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5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процесс, криминалистика,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https://urait.ru/bcode/470468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и практикум для вузов / Ю. В. Францифоров, Н. С. Манова, А. Ю. Францифоров. — 6-е изд., перераб. и доп. — Москва : Издательство Юрайт, 2021. — 403 с. — (Высшее образование). — ISBN 978-5-534-13800-9.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https://urait.ru/bcode/468905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https://urait.ru/bcode/488358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7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7"/>
        </w:numPr>
      </w:pPr>
      <w:r>
        <w:rPr/>
        <w:t xml:space="preserve">Уголовно-процессуальное право Российской Федерации в 2 ч. Часть 1 : учебник для вузов / Г. М. Резник [и др.] ; под общей редакцией Г. М. Резника. — 3-е изд., перераб. и доп. — Москва : Издательство Юрайт, 2021. — 457 с. — (Высшее образование). — ISBN 978-5-534-12202-2.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https://urait.ru/bcode/470369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Уголовно-процессуальное право Российской Федерации в 2 ч. Часть 2 : учебник для вузов / Г. М. Резник [и др.] ; ответственный редактор Г. М. Резник. — 3-е изд., перераб. и доп. — Москва : Издательство Юрайт, 2021. — 519 с. — (Высшее образование). — ISBN 978-5-534-12205-3.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https://urait.ru/bcode/470370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4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8"/>
        </w:numPr>
      </w:pPr>
      <w:r>
        <w:rPr/>
        <w:t xml:space="preserve">Электронной библиотеки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18"/>
        </w:numPr>
      </w:pPr>
      <w:r>
        <w:rPr/>
        <w:t xml:space="preserve">Образовательная платформа "Юрайт" </w:t>
      </w:r>
      <w:hyperlink r:id="rId16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1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18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19"/>
        </w:numPr>
      </w:pPr>
    </w:p>
    <w:p>
      <w:pPr>
        <w:numPr>
          <w:ilvl w:val="1"/>
          <w:numId w:val="19"/>
        </w:numPr>
      </w:pPr>
    </w:p>
    <w:p>
      <w:pPr>
        <w:numPr>
          <w:ilvl w:val="2"/>
          <w:numId w:val="19"/>
        </w:numPr>
      </w:pPr>
    </w:p>
    <w:p>
      <w:pPr>
        <w:numPr>
          <w:ilvl w:val="3"/>
          <w:numId w:val="19"/>
        </w:numPr>
      </w:pPr>
    </w:p>
    <w:p>
      <w:pPr>
        <w:numPr>
          <w:ilvl w:val="4"/>
          <w:numId w:val="19"/>
        </w:numPr>
      </w:pPr>
    </w:p>
    <w:p>
      <w:pPr>
        <w:numPr>
          <w:ilvl w:val="5"/>
          <w:numId w:val="19"/>
        </w:numPr>
      </w:pPr>
    </w:p>
    <w:p>
      <w:pPr>
        <w:numPr>
          <w:ilvl w:val="6"/>
          <w:numId w:val="19"/>
        </w:numPr>
      </w:pPr>
    </w:p>
    <w:p>
      <w:pPr>
        <w:numPr>
          <w:ilvl w:val="7"/>
          <w:numId w:val="19"/>
        </w:numPr>
      </w:pPr>
    </w:p>
    <w:p>
      <w:pPr>
        <w:numPr>
          <w:ilvl w:val="8"/>
          <w:numId w:val="19"/>
        </w:numPr>
      </w:pPr>
    </w:p>
    <w:p>
      <w:pPr>
        <w:numPr>
          <w:ilvl w:val="9"/>
          <w:numId w:val="19"/>
        </w:numPr>
      </w:pPr>
    </w:p>
    <w:p>
      <w:pPr>
        <w:numPr>
          <w:ilvl w:val="10"/>
          <w:numId w:val="19"/>
        </w:numPr>
      </w:pPr>
    </w:p>
    <w:p>
      <w:pPr>
        <w:numPr>
          <w:ilvl w:val="11"/>
          <w:numId w:val="19"/>
        </w:numPr>
      </w:pPr>
    </w:p>
    <w:p>
      <w:pPr>
        <w:numPr>
          <w:ilvl w:val="12"/>
          <w:numId w:val="19"/>
        </w:numPr>
      </w:pPr>
    </w:p>
    <w:p>
      <w:pPr>
        <w:numPr>
          <w:ilvl w:val="13"/>
          <w:numId w:val="19"/>
        </w:numPr>
      </w:pPr>
    </w:p>
    <w:p>
      <w:pPr>
        <w:numPr>
          <w:ilvl w:val="14"/>
          <w:numId w:val="19"/>
        </w:numPr>
      </w:pPr>
    </w:p>
    <w:p>
      <w:pPr>
        <w:numPr>
          <w:ilvl w:val="15"/>
          <w:numId w:val="19"/>
        </w:numPr>
      </w:pPr>
    </w:p>
    <w:p>
      <w:pPr>
        <w:numPr>
          <w:ilvl w:val="16"/>
          <w:numId w:val="19"/>
        </w:numPr>
      </w:pPr>
    </w:p>
    <w:p>
      <w:pPr>
        <w:numPr>
          <w:ilvl w:val="17"/>
          <w:numId w:val="19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1A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76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63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8F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CA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4A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7ED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36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2BF12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2AE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9F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85B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D9A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F47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385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083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24E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BE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E2016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70468" TargetMode="External"/><Relationship Id="rId8" Type="http://schemas.openxmlformats.org/officeDocument/2006/relationships/hyperlink" Target="https://urait.ru/bcode/470469" TargetMode="External"/><Relationship Id="rId9" Type="http://schemas.openxmlformats.org/officeDocument/2006/relationships/hyperlink" Target="https://urait.ru/bcode/468905" TargetMode="External"/><Relationship Id="rId10" Type="http://schemas.openxmlformats.org/officeDocument/2006/relationships/hyperlink" Target="https://urait.ru/bcode/488358" TargetMode="External"/><Relationship Id="rId11" Type="http://schemas.openxmlformats.org/officeDocument/2006/relationships/hyperlink" Target="https://urait.ru/bcode/495480" TargetMode="External"/><Relationship Id="rId12" Type="http://schemas.openxmlformats.org/officeDocument/2006/relationships/hyperlink" Target="https://urait.ru/bcode/470369" TargetMode="External"/><Relationship Id="rId13" Type="http://schemas.openxmlformats.org/officeDocument/2006/relationships/hyperlink" Target="https://urait.ru/bcode/470370" TargetMode="External"/><Relationship Id="rId14" Type="http://schemas.openxmlformats.org/officeDocument/2006/relationships/hyperlink" Target="http://foliant.ru/catalog/psulibr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s://urait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2026-04-21T03:57:30+03:00</dcterms:created>
  <dcterms:modified xsi:type="dcterms:W3CDTF">2026-04-21T03:57:30+03:00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