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РАССМОТРЕНИЕ ДЕЛ О НЕСОСТОЯТЕЛЬНОСТИ (БАНКРОТСТВЕ) ФИЗИЧЕСКИХ И ЮРИДИЧЕСКИХ ЛИЦ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Рассмотрение дел о несостоятельности (банкротстве) физических и юридических лиц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несостоятельности (банкротства)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Банкротство юридических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банкротство физических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правовое регулирование несо-стоятельности (банкрот-ства).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статус арбитражных управляющих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особенности рассмотрения дел о банкротстве в арбитражном суде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Процедуры, применяемые в деле о банкротстве юридического лица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Процедуры, применяемые в деле о банкротстве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обособленные споры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отдельных процедур, применяемых в деле о банкротстве ЮЛ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разногласий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оспаривание сделок должника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ситуаций. </w:t>
      </w:r>
    </w:p>
    <w:p>
      <w:pPr/>
      <w:r>
        <w:rPr/>
        <w:t xml:space="preserve">Встречи с представителями различных компаний.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собеседования:</w:t>
      </w:r>
    </w:p>
    <w:p>
      <w:pPr/>
      <w:r>
        <w:rPr>
          <w:i w:val="1"/>
          <w:iCs w:val="1"/>
        </w:rPr>
        <w:t xml:space="preserve">Понятие и система правового регулирования несостоятельности (банкротства)</w:t>
      </w:r>
    </w:p>
    <w:p>
      <w:pPr>
        <w:numPr>
          <w:ilvl w:val="0"/>
          <w:numId w:val="1"/>
        </w:numPr>
      </w:pPr>
      <w:r>
        <w:rPr/>
        <w:t xml:space="preserve">Понятие, цели и задачи института несостоятельности (банкротства)</w:t>
      </w:r>
    </w:p>
    <w:p>
      <w:pPr>
        <w:numPr>
          <w:ilvl w:val="0"/>
          <w:numId w:val="1"/>
        </w:numPr>
      </w:pPr>
      <w:r>
        <w:rPr/>
        <w:t xml:space="preserve">Система и источники правового регулирования банкротства</w:t>
      </w:r>
    </w:p>
    <w:p>
      <w:pPr>
        <w:numPr>
          <w:ilvl w:val="0"/>
          <w:numId w:val="1"/>
        </w:numPr>
      </w:pPr>
      <w:r>
        <w:rPr/>
        <w:t xml:space="preserve">Понятие, критерии и признаки банкротства</w:t>
      </w:r>
    </w:p>
    <w:p>
      <w:pPr>
        <w:numPr>
          <w:ilvl w:val="0"/>
          <w:numId w:val="1"/>
        </w:numPr>
      </w:pPr>
      <w:r>
        <w:rPr/>
        <w:t xml:space="preserve">Этапы банкротства и процедуры в деле о банкротстве</w:t>
      </w:r>
    </w:p>
    <w:p>
      <w:pPr>
        <w:numPr>
          <w:ilvl w:val="0"/>
          <w:numId w:val="1"/>
        </w:numPr>
      </w:pPr>
      <w:r>
        <w:rPr/>
        <w:t xml:space="preserve">Состав и размер обязательств, учитываемых при определении наличия признаков банкротства</w:t>
      </w:r>
    </w:p>
    <w:p>
      <w:pPr/>
      <w:r>
        <w:rPr>
          <w:i w:val="1"/>
          <w:iCs w:val="1"/>
        </w:rPr>
        <w:t xml:space="preserve">Субъекты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Понятие и классификация субъектов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Должник, руководитель должника, участники и собственник имущества должника, их представители, контролирующее должника лицо</w:t>
      </w:r>
    </w:p>
    <w:p>
      <w:pPr>
        <w:numPr>
          <w:ilvl w:val="0"/>
          <w:numId w:val="2"/>
        </w:numPr>
      </w:pPr>
      <w:r>
        <w:rPr/>
        <w:t xml:space="preserve">Кредиторы как субъекты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Собрание кредиторов, комитет кредиторов, их представители, представитель работников должника</w:t>
      </w:r>
    </w:p>
    <w:p>
      <w:pPr>
        <w:numPr>
          <w:ilvl w:val="0"/>
          <w:numId w:val="2"/>
        </w:numPr>
      </w:pPr>
      <w:r>
        <w:rPr/>
        <w:t xml:space="preserve">Арбитражный управляющий и реестродержатель</w:t>
      </w:r>
    </w:p>
    <w:p>
      <w:pPr>
        <w:numPr>
          <w:ilvl w:val="0"/>
          <w:numId w:val="2"/>
        </w:numPr>
      </w:pPr>
      <w:r>
        <w:rPr/>
        <w:t xml:space="preserve">Саморегулируемые организации арбитражных управляющих, их национальное объединение</w:t>
      </w:r>
    </w:p>
    <w:p>
      <w:pPr>
        <w:numPr>
          <w:ilvl w:val="0"/>
          <w:numId w:val="2"/>
        </w:numPr>
      </w:pPr>
      <w:r>
        <w:rPr/>
        <w:t xml:space="preserve">Заинтересованные лица</w:t>
      </w:r>
    </w:p>
    <w:p>
      <w:pPr>
        <w:numPr>
          <w:ilvl w:val="0"/>
          <w:numId w:val="2"/>
        </w:numPr>
      </w:pPr>
      <w:r>
        <w:rPr/>
        <w:t xml:space="preserve">Арбитражный суд, органы исполнительной власти, органы местного самоуправления, не являющиеся кредиторами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подготовки к экзамену:</w:t>
      </w:r>
    </w:p>
    <w:p>
      <w:pPr/>
      <w:r>
        <w:rPr/>
        <w:t xml:space="preserve">1.  Рассмотрение дел о банкротстве. Право на обращение в арбитражный суд. Обязанности должника по подаче заявления в арбитражный суд.</w:t>
      </w:r>
      <w:br/>
      <w:r>
        <w:rPr/>
        <w:t xml:space="preserve">2. Права кредиторов и уполномоченных органов. Особенности правового статуса кредиторов, требования которых обеспечены имуществом должника.</w:t>
      </w:r>
      <w:br/>
      <w:r>
        <w:rPr/>
        <w:t xml:space="preserve">3. Собрание кредиторов. Порядок созыва собрания кредиторов. Уведомление о проведении собрания кредиторов.</w:t>
      </w:r>
      <w:br/>
      <w:r>
        <w:rPr/>
        <w:t xml:space="preserve">4. Арбитражные управляющие. Требования к арбитражным управляющим.</w:t>
      </w:r>
      <w:br/>
      <w:r>
        <w:rPr/>
        <w:t xml:space="preserve">5. Права, обязанности и ответственность арбитражных управляющих. Вознаграждение арбитражных управляющих.</w:t>
      </w:r>
      <w:br/>
      <w:r>
        <w:rPr/>
        <w:t xml:space="preserve">6. Порядок рассмотрения дел о банкротстве.</w:t>
      </w:r>
      <w:br/>
      <w:r>
        <w:rPr/>
        <w:t xml:space="preserve">7. Лица, участвующие в деле о банкротстве. Лица, участвующие в арбитражном процессе по делу о банкротстве. Представительство в деле о банкротстве.</w:t>
      </w:r>
      <w:br/>
      <w:r>
        <w:rPr/>
        <w:t xml:space="preserve">8. Порядок утверждения арбитражного управляющего. Освобождение и отстранение арбитражного управляющего от исполнения возложенных на него обязанностей.</w:t>
      </w:r>
      <w:br/>
      <w:r>
        <w:rPr/>
        <w:t xml:space="preserve">9. Срок рассмотрения дела о банкротстве. Полномочия арбитражного суда по результатам рассмотрения дела о банкротстве.</w:t>
      </w:r>
      <w:br/>
      <w:r>
        <w:rPr/>
        <w:t xml:space="preserve">10. Распределение судебных расходов в деле о банкротстве и расходов на выплату вознаграждения арбитражным управляющим.</w:t>
      </w:r>
      <w:br/>
      <w:r>
        <w:rPr/>
        <w:t xml:space="preserve">11. Рассмотрение разногласий, заявлений, ходатайств и жалоб в деле о банкротстве.</w:t>
      </w:r>
      <w:br/>
      <w:r>
        <w:rPr/>
        <w:t xml:space="preserve">12. Введение наблюдения. Последствия вынесения арбитражным судом определения о введении наблюдения. Срок, на который вводится процедура наблюдения.</w:t>
      </w:r>
      <w:br/>
      <w:r>
        <w:rPr/>
        <w:t xml:space="preserve">13. Ограничения и обязанности должника. Отстранение руководителя должника от должности.</w:t>
      </w:r>
      <w:br/>
      <w:r>
        <w:rPr/>
        <w:t xml:space="preserve">14.  Установление размера требований кредиторов должника.</w:t>
      </w:r>
      <w:br/>
      <w:r>
        <w:rPr/>
        <w:t xml:space="preserve">15.  Финансовое оздоровление. Ходатайства о введении финансового оздоровления, в том числе учредителей, третьего лица или третьих лиц. </w:t>
      </w:r>
      <w:br/>
      <w:r>
        <w:rPr/>
        <w:t xml:space="preserve">16.  Внешнее управление. Порядок и последствия введения внешнего управления.</w:t>
      </w:r>
      <w:br/>
      <w:r>
        <w:rPr/>
        <w:t xml:space="preserve">17.  Конкурсное производство. Последствия открытия конкурсного производства.</w:t>
      </w:r>
      <w:br/>
      <w:r>
        <w:rPr/>
        <w:t xml:space="preserve">18.  Конкурсная масса. Имущество должника, не включаемое в конкурсную массу.</w:t>
      </w:r>
      <w:br/>
      <w:r>
        <w:rPr/>
        <w:t xml:space="preserve">19.  Оценка имущества должника.</w:t>
      </w:r>
      <w:br/>
      <w:r>
        <w:rPr/>
        <w:t xml:space="preserve">20.  Торги по реализации имущества должника, проводимые в электронной форме.</w:t>
      </w:r>
      <w:br/>
      <w:r>
        <w:rPr/>
        <w:t xml:space="preserve">21.  Очередность удовлетворения требований кредиторов. Размер и порядок удовлетворения требований кредиторов первой, второй и третьей очереди. Требования кредиторов по обязательствам, обеспеченным залогом.</w:t>
      </w:r>
      <w:br/>
      <w:r>
        <w:rPr/>
        <w:t xml:space="preserve">22. Мировое соглашение. Общие положения о заключении мирового соглашения.</w:t>
      </w:r>
      <w:br/>
      <w:r>
        <w:rPr/>
        <w:t xml:space="preserve">23. Банкротство гражданина. Общие положения. План погашения долгов. Имущество гражданина, не включаемое в конкурсную массу. Недействительность сделок гражданина.</w:t>
      </w:r>
      <w:br/>
      <w:r>
        <w:rPr/>
        <w:t xml:space="preserve">24. Последствия признания гражданина банкротом. Рассмотрение требований кредиторов и порядок удовлетворения требований. Освобождение гражданина от обязательств. Последствия повторного банкротства гражданина.</w:t>
      </w:r>
      <w:br/>
      <w:r>
        <w:rPr/>
        <w:t xml:space="preserve">25. Особенности банкротства индивидуальных предпринимателей. Основания для признания индивидуального предпринимателя банкротом. Заявление о признании индивидуального предпринимателя банкротом. Последствия признания индивидуального предпринимателя банкротом.</w:t>
      </w:r>
      <w:br/>
      <w:r>
        <w:rPr/>
        <w:t xml:space="preserve">26. Особенности банкротства крестьянского (фермерского) хозяйства. Особенности финансового оздоровления и внешнего управления. Порядок продажи имущества и имущественных прав крестьянского (фермерского) хозяйства.</w:t>
      </w:r>
      <w:br/>
      <w:r>
        <w:rPr/>
        <w:t xml:space="preserve">27.  Особенности банкротства ликвидируемого должника. Особенности рассмотрения дела о банкротстве ликвидируемого должника. Последствия отказа от ликвидации ликвидируемого должника.</w:t>
      </w:r>
      <w:br/>
      <w:r>
        <w:rPr/>
        <w:t xml:space="preserve">28.  Банкротство отсутствующего должника. Особенности подачи заявления о признании отсутствующего должника банкротом. Особенности рассмотрения дела о банкротстве отсутствующего должника. Распределение выручки. Применение положений о банкротстве отсутствующего должника.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Инструктаж проводится преподавателем за счет объема времени, отведенного на изучение дисциплины.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Семинарские занятия представляют собой детализацию  теоретического материала, проводятся в целях закрепления курса и охватывают все основные разделы.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Основной формой проведения семинаров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ассистирование преподавателю в проведении занятий.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 должен быть аргументированным, развернутым, не односложным, содержать ссылки на источники.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</w:rPr>
        <w:t xml:space="preserve">Пирогова, Е. С.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 Правовое регулирование несостоятельности (банкротства) : учебник для вузов / Е. С. Пирогова, А. Я. Курбатов. — 2-е изд., перераб. и доп. — Москва : Издательство Юрайт, 2019. — 281 с. — (Высшее образование). — ISBN 978-5-534-11746-2. — Текст : электронный // ЭБС Юрайт [сайт]. — URL: </w:t>
      </w:r>
      <w:hyperlink r:id="rId7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https://biblio-online.ru/bcode/446127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 (дата обращения: 13.10.2019).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</w:rPr>
        <w:t xml:space="preserve">Юлова, Е. С.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Правовое регулирование несостоятельности (банкротства) : учебник и практикум для бакалавриата и магистратуры / Е. С. Юлова. — Москва : Издательство Юрайт, 2019. — 413 с. — (Высшее образование). — ISBN 978-5-534-00344-4. — Текст : электронный // ЭБС Юрайт [сайт]. — URL: </w:t>
      </w:r>
      <w:hyperlink r:id="rId8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https://biblio-online.ru/bcode/433119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(дата обращения: 13.10.2019).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Банкротство и финансовое оздоровление субъектов экономики : монография / А. Н. Ряховская [и др.] ; под редакцией А. Н. Ряховской. — Москва : Издательство Юрайт, 2019. — 153 с. — (Актуальные монографии). — ISBN 978-5-534-11475-1. — Текст : электронный // ЭБС Юрайт [сайт]. — URL: </w:t>
      </w:r>
      <w:hyperlink r:id="rId9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https://biblio-online.ru/bcode/445347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Зуб, А. Т.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Антикризисное управление : учебник для вузов / А. Т. Зуб. — 2-е изд., перераб. и доп. — Москва : Издательство Юрайт, 2019. — 343 с. — (Бакалавр. Академический курс). — ISBN 978-5-9916-3179-2. — Текст : электронный // ЭБС Юрайт [сайт]. — URL: </w:t>
      </w:r>
      <w:hyperlink r:id="rId10" w:history="1">
        <w:r>
          <w:rPr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https://biblio-online.ru/bcode/447754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Кочеткова, А. И.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Антикризисное управление. Инструментарий : учебник и практикум для бакалавриата и магистратуры / А. И. Кочеткова, П. Н. Кочетков. — Москва : Издательство Юрайт, 2019. — 440 с. — (Бакалавр и магистр. Академический курс). — ISBN 978-5-534-01617-8. — Текст : электронный // ЭБС Юрайт [сайт]. — URL: </w:t>
      </w:r>
      <w:hyperlink r:id="rId11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https://biblio-online.ru/bcode/434579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Электронный каталог Научной библиотеки ПетрГУ - </w:t>
      </w:r>
      <w:hyperlink r:id="rId12" w:history="1">
        <w:r>
          <w:rPr/>
          <w:t xml:space="preserve">http://foliant.ru/catalog/psulibr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-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-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Информационно-справочная система «Кодекс» - </w:t>
      </w:r>
      <w:hyperlink r:id="rId15" w:history="1">
        <w:r>
          <w:rPr/>
          <w:t xml:space="preserve">http://kodeks.karelia.ru/lib/show/petrsu</w:t>
        </w:r>
      </w:hyperlink>
    </w:p>
    <w:p>
      <w:pPr>
        <w:numPr>
          <w:ilvl w:val="0"/>
          <w:numId w:val="7"/>
        </w:numPr>
      </w:pPr>
      <w:r>
        <w:rPr/>
        <w:t xml:space="preserve">Компьютерная справочная правовая система «КонсультантПлюс» - </w:t>
      </w:r>
      <w:hyperlink r:id="rId16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«Юрайт» - </w:t>
      </w:r>
      <w:hyperlink r:id="rId17" w:history="1">
        <w:r>
          <w:rPr/>
          <w:t xml:space="preserve">https://www.biblio-online.ru/</w:t>
        </w:r>
      </w:hyperlink>
    </w:p>
    <w:p>
      <w:pPr>
        <w:numPr>
          <w:ilvl w:val="0"/>
          <w:numId w:val="7"/>
        </w:numPr>
      </w:pPr>
      <w:r>
        <w:rPr/>
        <w:t xml:space="preserve"> 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4F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EDE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F6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B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F1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5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59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E5E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46127" TargetMode="External"/><Relationship Id="rId8" Type="http://schemas.openxmlformats.org/officeDocument/2006/relationships/hyperlink" Target="https://biblio-online.ru/bcode/433119" TargetMode="External"/><Relationship Id="rId9" Type="http://schemas.openxmlformats.org/officeDocument/2006/relationships/hyperlink" Target="https://biblio-online.ru/bcode/445347" TargetMode="External"/><Relationship Id="rId10" Type="http://schemas.openxmlformats.org/officeDocument/2006/relationships/hyperlink" Target="https://biblio-online.ru/bcode/447754" TargetMode="External"/><Relationship Id="rId11" Type="http://schemas.openxmlformats.org/officeDocument/2006/relationships/hyperlink" Target="https://biblio-online.ru/bcode/43457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kodeks.karelia.ru/lib/show/petrsu" TargetMode="External"/><Relationship Id="rId16" Type="http://schemas.openxmlformats.org/officeDocument/2006/relationships/hyperlink" Target="http://www.consultant.ru/" TargetMode="External"/><Relationship Id="rId17" Type="http://schemas.openxmlformats.org/officeDocument/2006/relationships/hyperlink" Target="https://www.biblio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2026-04-21T00:31:57+03:00</dcterms:created>
  <dcterms:modified xsi:type="dcterms:W3CDTF">2026-04-21T00:31:57+03:00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