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ЭКСПЕРТИЗА В ОБЛАСТИ АНТИМОНОПОЛЬНОГО ЗАКОНОДАТЕЛЬСТВА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«Административное и финансовое право»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«Административное и финансовое право»).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Уханова Анна Павловна, доцент, кафедра публичного и частного права; и.о. заведующего кафедрой, кафедра публичного и частного права,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участие в проведении юридической экспертизы проектов нормативных правовых актов и квалифицированно толковать нормативные правовые акты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Знает основы и специфику проведения исследования в рамках юридической экспертизы проектов нормативных правовых актов;</w:t>
            </w:r>
          </w:p>
          <w:p/>
          <w:p>
            <w:pPr/>
            <w:r>
              <w:rPr/>
              <w:t xml:space="preserve">ПК-3.2. Проводит исследования в рамках юридической экспертизы проектов нормативных правовых актов;</w:t>
            </w:r>
          </w:p>
          <w:p/>
          <w:p>
            <w:pPr/>
            <w:r>
              <w:rPr/>
              <w:t xml:space="preserve">ПК-3.3. Осуществляет квалифицированное толкование нормативных правовых актов;</w:t>
            </w:r>
          </w:p>
          <w:p/>
          <w:p>
            <w:pPr/>
            <w:r>
              <w:rPr/>
              <w:t xml:space="preserve">ПК-3.4. Владеет практическими навыками квалифицированного исследования в рамках юридической экспертизы проектов нормативных правовых актов в конкретных отраслях права и их толкования.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Обеспечение выполнения мероприятий по правовому сопровождению и(или) контролю соответствия организаций требованиям антимонопольного законодательства Российской Федерации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ПК-9.1. Знает правила осуществления квалификации фактов и обстоятельств по уголовным делам;</w:t>
            </w:r>
          </w:p>
          <w:p/>
          <w:p>
            <w:pPr/>
            <w:r>
              <w:rPr/>
              <w:t xml:space="preserve">ПК-9.2. Осуществляет квалификацию фактов, событий и обстоятельств по уголовным делам;</w:t>
            </w:r>
          </w:p>
          <w:p/>
          <w:p>
            <w:pPr/>
            <w:r>
              <w:rPr/>
              <w:t xml:space="preserve">ПК-9.3. Владеет навыками квалификации фактов, событий и обстоятельств по уголовным делам.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Экспертиза в области антимонопольного законодательства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Экспертиза в области антимонопольного законодательства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Антимонопольное регулирование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Антимонопольное законодательство: предмет регулирования, источники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13.	Экспертиза нормативно-правовых актов: предмет, цель, средства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Правовой статус ФАС, функции, полномочия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Антимонопольный комплаенс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конкуренции в РФ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Рассмотрение дел о нарушении антимонопольного законодательства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Ответственность за нарушение антимонопольного законодательства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Порядок обжалования решений и предписаний антимонопольного органа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Экспертиза НПА: цели, задачи, методы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моделирование и решение практических ситуаций, кейсы, дискуссии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круглый стол, дискуссия, полемика, диспут, дебаты.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Круглый стол, дискуссия, полемика, диспут, дебаты</w:t>
      </w:r>
    </w:p>
    <w:p>
      <w:pPr/>
      <w:r>
        <w:rPr/>
        <w:t xml:space="preserve">по темам разделов дисциплины</w:t>
      </w:r>
    </w:p>
    <w:p>
      <w:pPr/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Антимонопольное законодательство: предмет регулирования, источники</w:t>
      </w:r>
    </w:p>
    <w:p>
      <w:pPr>
        <w:numPr>
          <w:ilvl w:val="0"/>
          <w:numId w:val="1"/>
        </w:numPr>
      </w:pPr>
      <w:r>
        <w:rPr/>
        <w:t xml:space="preserve">законодательство о конкуренции в РФ</w:t>
      </w:r>
    </w:p>
    <w:p>
      <w:pPr>
        <w:numPr>
          <w:ilvl w:val="0"/>
          <w:numId w:val="1"/>
        </w:numPr>
      </w:pPr>
      <w:r>
        <w:rPr/>
        <w:t xml:space="preserve">Законодательство о монополии в РФ</w:t>
      </w:r>
    </w:p>
    <w:p>
      <w:pPr>
        <w:numPr>
          <w:ilvl w:val="0"/>
          <w:numId w:val="1"/>
        </w:numPr>
      </w:pPr>
      <w:r>
        <w:rPr/>
        <w:t xml:space="preserve">Антимонопольный комплаенс: понятие, правовое регулирование</w:t>
      </w:r>
    </w:p>
    <w:p>
      <w:pPr>
        <w:numPr>
          <w:ilvl w:val="0"/>
          <w:numId w:val="1"/>
        </w:numPr>
      </w:pPr>
      <w:r>
        <w:rPr/>
        <w:t xml:space="preserve">Понятие «доминирующего положения»</w:t>
      </w:r>
    </w:p>
    <w:p>
      <w:pPr>
        <w:numPr>
          <w:ilvl w:val="0"/>
          <w:numId w:val="1"/>
        </w:numPr>
      </w:pPr>
      <w:r>
        <w:rPr/>
        <w:t xml:space="preserve">Свобода конкуренции: понятие и правовые гарантии</w:t>
      </w:r>
    </w:p>
    <w:p>
      <w:pPr>
        <w:numPr>
          <w:ilvl w:val="0"/>
          <w:numId w:val="1"/>
        </w:numPr>
      </w:pPr>
      <w:r>
        <w:rPr/>
        <w:t xml:space="preserve">Субъект монополистической деятельности: правовое положение</w:t>
      </w:r>
    </w:p>
    <w:p>
      <w:pPr>
        <w:numPr>
          <w:ilvl w:val="0"/>
          <w:numId w:val="1"/>
        </w:numPr>
      </w:pPr>
      <w:r>
        <w:rPr/>
        <w:t xml:space="preserve">Понятие «недобросовестной конкуренции»</w:t>
      </w:r>
    </w:p>
    <w:p>
      <w:pPr>
        <w:numPr>
          <w:ilvl w:val="0"/>
          <w:numId w:val="1"/>
        </w:numPr>
      </w:pPr>
      <w:r>
        <w:rPr/>
        <w:t xml:space="preserve">Правовой статус ФАС</w:t>
      </w:r>
    </w:p>
    <w:p>
      <w:pPr>
        <w:numPr>
          <w:ilvl w:val="0"/>
          <w:numId w:val="1"/>
        </w:numPr>
      </w:pPr>
      <w:r>
        <w:rPr/>
        <w:t xml:space="preserve">Функции и полномочия антимонопольного органа</w:t>
      </w:r>
    </w:p>
    <w:p>
      <w:pPr>
        <w:numPr>
          <w:ilvl w:val="0"/>
          <w:numId w:val="1"/>
        </w:numPr>
      </w:pPr>
      <w:r>
        <w:rPr/>
        <w:t xml:space="preserve">Рассмотрение дел о нарушении антимонопольного законодательства</w:t>
      </w:r>
    </w:p>
    <w:p>
      <w:pPr>
        <w:numPr>
          <w:ilvl w:val="0"/>
          <w:numId w:val="1"/>
        </w:numPr>
      </w:pPr>
      <w:r>
        <w:rPr/>
        <w:t xml:space="preserve">Ответственность за нарушение антимонопольного законодательства</w:t>
      </w:r>
    </w:p>
    <w:p>
      <w:pPr>
        <w:numPr>
          <w:ilvl w:val="0"/>
          <w:numId w:val="1"/>
        </w:numPr>
      </w:pPr>
      <w:r>
        <w:rPr/>
        <w:t xml:space="preserve">Экспертиза нормативно-правовых актов: предмет, цель, средства</w:t>
      </w:r>
    </w:p>
    <w:p>
      <w:pPr>
        <w:numPr>
          <w:ilvl w:val="0"/>
          <w:numId w:val="1"/>
        </w:numPr>
      </w:pPr>
      <w:r>
        <w:rPr/>
        <w:t xml:space="preserve">Порядок обжалования решений и предписаний антимонопольного органа</w:t>
      </w:r>
    </w:p>
    <w:p>
      <w:pPr>
        <w:numPr>
          <w:ilvl w:val="0"/>
          <w:numId w:val="1"/>
        </w:numPr>
      </w:pPr>
      <w:r>
        <w:rPr/>
        <w:t xml:space="preserve">Государственный контроль за экономической концентрацией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Антимонопольное законодательство: предмет регулирования, источники</w:t>
      </w:r>
    </w:p>
    <w:p>
      <w:pPr>
        <w:numPr>
          <w:ilvl w:val="0"/>
          <w:numId w:val="2"/>
        </w:numPr>
      </w:pPr>
      <w:r>
        <w:rPr/>
        <w:t xml:space="preserve">законодательство о конкуренции в РФ</w:t>
      </w:r>
    </w:p>
    <w:p>
      <w:pPr>
        <w:numPr>
          <w:ilvl w:val="0"/>
          <w:numId w:val="2"/>
        </w:numPr>
      </w:pPr>
      <w:r>
        <w:rPr/>
        <w:t xml:space="preserve">Законодательство о монополии в РФ</w:t>
      </w:r>
    </w:p>
    <w:p>
      <w:pPr>
        <w:numPr>
          <w:ilvl w:val="0"/>
          <w:numId w:val="2"/>
        </w:numPr>
      </w:pPr>
      <w:r>
        <w:rPr/>
        <w:t xml:space="preserve">Антимонопольный комплаенс: понятие, правовое регулирование</w:t>
      </w:r>
    </w:p>
    <w:p>
      <w:pPr>
        <w:numPr>
          <w:ilvl w:val="0"/>
          <w:numId w:val="2"/>
        </w:numPr>
      </w:pPr>
      <w:r>
        <w:rPr/>
        <w:t xml:space="preserve">Понятие «доминирующего положения»</w:t>
      </w:r>
    </w:p>
    <w:p>
      <w:pPr>
        <w:numPr>
          <w:ilvl w:val="0"/>
          <w:numId w:val="2"/>
        </w:numPr>
      </w:pPr>
      <w:r>
        <w:rPr/>
        <w:t xml:space="preserve">Свобода конкуренции: понятие и правовые гарантии</w:t>
      </w:r>
    </w:p>
    <w:p>
      <w:pPr>
        <w:numPr>
          <w:ilvl w:val="0"/>
          <w:numId w:val="2"/>
        </w:numPr>
      </w:pPr>
      <w:r>
        <w:rPr/>
        <w:t xml:space="preserve">Субъект монополистической деятельности: правовое положение</w:t>
      </w:r>
    </w:p>
    <w:p>
      <w:pPr>
        <w:numPr>
          <w:ilvl w:val="0"/>
          <w:numId w:val="2"/>
        </w:numPr>
      </w:pPr>
      <w:r>
        <w:rPr/>
        <w:t xml:space="preserve">Понятие «недобросовестной конкуренции»</w:t>
      </w:r>
    </w:p>
    <w:p>
      <w:pPr>
        <w:numPr>
          <w:ilvl w:val="0"/>
          <w:numId w:val="2"/>
        </w:numPr>
      </w:pPr>
      <w:r>
        <w:rPr/>
        <w:t xml:space="preserve">Правовой статус ФАС</w:t>
      </w:r>
    </w:p>
    <w:p>
      <w:pPr>
        <w:numPr>
          <w:ilvl w:val="0"/>
          <w:numId w:val="2"/>
        </w:numPr>
      </w:pPr>
      <w:r>
        <w:rPr/>
        <w:t xml:space="preserve">Функции и полномочия антимонопольного органа</w:t>
      </w:r>
    </w:p>
    <w:p>
      <w:pPr>
        <w:numPr>
          <w:ilvl w:val="0"/>
          <w:numId w:val="2"/>
        </w:numPr>
      </w:pPr>
      <w:r>
        <w:rPr/>
        <w:t xml:space="preserve">Рассмотрение дел о нарушении антимонопольного законодательства</w:t>
      </w:r>
    </w:p>
    <w:p>
      <w:pPr>
        <w:numPr>
          <w:ilvl w:val="0"/>
          <w:numId w:val="2"/>
        </w:numPr>
      </w:pPr>
      <w:r>
        <w:rPr/>
        <w:t xml:space="preserve">Ответственность за нарушение антимонопольного законодательства</w:t>
      </w:r>
    </w:p>
    <w:p>
      <w:pPr>
        <w:numPr>
          <w:ilvl w:val="0"/>
          <w:numId w:val="2"/>
        </w:numPr>
      </w:pPr>
      <w:r>
        <w:rPr/>
        <w:t xml:space="preserve">Экспертиза нормативно-правовых актов: предмет, цель, средства</w:t>
      </w:r>
    </w:p>
    <w:p>
      <w:pPr>
        <w:numPr>
          <w:ilvl w:val="0"/>
          <w:numId w:val="2"/>
        </w:numPr>
      </w:pPr>
      <w:r>
        <w:rPr/>
        <w:t xml:space="preserve">Порядок обжалования решений и предписаний антимонопольного органа</w:t>
      </w:r>
    </w:p>
    <w:p>
      <w:pPr>
        <w:numPr>
          <w:ilvl w:val="0"/>
          <w:numId w:val="2"/>
        </w:numPr>
      </w:pPr>
      <w:r>
        <w:rPr/>
        <w:t xml:space="preserve">Государственный контроль за экономической концентрацией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Формы усвоения материала:</w:t>
      </w:r>
    </w:p>
    <w:p>
      <w:pPr>
        <w:numPr>
          <w:ilvl w:val="0"/>
          <w:numId w:val="3"/>
        </w:numPr>
      </w:pPr>
      <w:r>
        <w:rPr/>
        <w:t xml:space="preserve">Изучение теоретического и практического материала в рамках лекционного курса</w:t>
      </w:r>
    </w:p>
    <w:p>
      <w:pPr>
        <w:numPr>
          <w:ilvl w:val="0"/>
          <w:numId w:val="3"/>
        </w:numPr>
      </w:pPr>
      <w:r>
        <w:rPr/>
        <w:t xml:space="preserve">Изучение теоретического и практического материала в рамках самостоятельной работы с рекомендованной литературой, электронными правовыми базами данных, в том числе при анализе правоприменительных актов.</w:t>
      </w:r>
    </w:p>
    <w:p>
      <w:pPr>
        <w:numPr>
          <w:ilvl w:val="0"/>
          <w:numId w:val="3"/>
        </w:numPr>
      </w:pPr>
      <w:r>
        <w:rPr/>
        <w:t xml:space="preserve">Самостоятельная подготовка к практическим занятиям и работа согласно рекомендациями преподавателя и темам практических занятий.</w:t>
      </w:r>
    </w:p>
    <w:p>
      <w:pPr>
        <w:numPr>
          <w:ilvl w:val="0"/>
          <w:numId w:val="3"/>
        </w:numPr>
      </w:pPr>
      <w:r>
        <w:rPr/>
        <w:t xml:space="preserve">Решение задач (кейсов), теста, участие в ролевом судебном процессе.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Основные методики и приемы изложения курса:</w:t>
      </w:r>
    </w:p>
    <w:p>
      <w:pPr>
        <w:numPr>
          <w:ilvl w:val="0"/>
          <w:numId w:val="4"/>
        </w:numPr>
      </w:pPr>
      <w:r>
        <w:rPr/>
        <w:t xml:space="preserve">Проблематизация лекционного материала, анализ практических ситуаций по темам, включая примеры из судебной практики.</w:t>
      </w:r>
    </w:p>
    <w:p>
      <w:pPr>
        <w:numPr>
          <w:ilvl w:val="0"/>
          <w:numId w:val="4"/>
        </w:numPr>
      </w:pPr>
      <w:r>
        <w:rPr/>
        <w:t xml:space="preserve">Обсуждение вопросов по отдельным темам на практических занятиях, проведение опросов.</w:t>
      </w:r>
    </w:p>
    <w:p>
      <w:pPr>
        <w:numPr>
          <w:ilvl w:val="0"/>
          <w:numId w:val="4"/>
        </w:numPr>
      </w:pPr>
      <w:r>
        <w:rPr/>
        <w:t xml:space="preserve">Организация дискуссий по актуальным проблемам в рамках тем практических занятий.</w:t>
      </w:r>
    </w:p>
    <w:p>
      <w:pPr>
        <w:numPr>
          <w:ilvl w:val="0"/>
          <w:numId w:val="4"/>
        </w:numPr>
      </w:pPr>
      <w:r>
        <w:rPr/>
        <w:t xml:space="preserve">Осуществление текущего контроля.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Федеральный закон "О защите конкуренции" от 26.07.2006 N 135-ФЗ</w:t>
      </w:r>
    </w:p>
    <w:p>
      <w:pPr/>
      <w:r>
        <w:rPr/>
        <w:t xml:space="preserve">Арбитражный процессуальный кодекс Российской Федерации от 24.07.2002 N 95-ФЗ</w:t>
      </w:r>
    </w:p>
    <w:p>
      <w:pPr/>
      <w:r>
        <w:rPr/>
        <w:t xml:space="preserve">Постановление Правительства РФ от 30.06.2004 N 331 "Об утверждении Положения о Федеральной антимонопольной службе"</w:t>
      </w:r>
    </w:p>
    <w:p>
      <w:pPr/>
      <w:r>
        <w:rPr/>
        <w:t xml:space="preserve"> Приказ ФАС России от 09.04.2007 N 105 "Об утверждении Регламента Федеральной антимонопольной службы" (Зарегистрировано в Минюсте России 15.05.2007 N 9470)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Бросалина А.А. </w:t>
      </w:r>
      <w:hyperlink r:id="rId7" w:history="1">
        <w:r>
          <w:rPr/>
          <w:t xml:space="preserve">КОМПЛАЕНС КАК ИНСТРУМЕНТ УПРАВЛЕНИЯ ПРАВОВЫМИ РИСКАМИ: К ПОСТАНОВКЕ ВОПРОСА О СОБЛЮДЕНИИ БАЛАНСА ИНТЕРЕСОВ МЕЖДУ ПРЕДПРИНИМАТЕЛЬСКИМ СООБЩЕСТВОМ И ОРГАНАМИ ГОСУДАРСТВЕННОГО КОНТРОЛЯ (НАДЗОРА)</w:t>
        </w:r>
      </w:hyperlink>
      <w:r>
        <w:rPr/>
        <w:t xml:space="preserve"> </w:t>
      </w:r>
      <w:hyperlink r:id="rId7" w:history="1">
        <w:r>
          <w:rPr/>
          <w:t xml:space="preserve">https://cyberleninka.ru/article/n/komplaens-kak-instrument-upravleniya-pravovymi-riskami-k-postanovke-voprosa-o-soblyudenii-balansa-interesov-mezhdu</w:t>
        </w:r>
      </w:hyperlink>
    </w:p>
    <w:p>
      <w:pPr>
        <w:numPr>
          <w:ilvl w:val="0"/>
          <w:numId w:val="5"/>
        </w:numPr>
      </w:pPr>
      <w:r>
        <w:rPr/>
        <w:t xml:space="preserve">Волков В. Ю., Науменко Т. И. </w:t>
      </w:r>
      <w:hyperlink r:id="rId8" w:history="1">
        <w:r>
          <w:rPr/>
          <w:t xml:space="preserve">ОТДЕЛЬНЫЕ АСПЕКТЫ ПРИМЕНЕНИЯ МЕР АДМИНИСТРАТИВНОЙ ОТВЕТСТВЕННОСТИ ЗА НАРУШЕНИЕ АНТИМОНОПОЛЬНОГО ЗАКОНОДАТЕЛЬСТВА</w:t>
        </w:r>
      </w:hyperlink>
      <w:r>
        <w:rPr/>
        <w:t xml:space="preserve"> </w:t>
      </w:r>
      <w:hyperlink r:id="rId8" w:history="1">
        <w:r>
          <w:rPr/>
          <w:t xml:space="preserve">https://cyberleninka.ru/article/n/otdelnye-aspekty-primeneniya-mer-administrativnoy-otvetstvennosti-za-narushenie-antimonopolnogo-zakonodatelstva</w:t>
        </w:r>
      </w:hyperlink>
    </w:p>
    <w:p>
      <w:pPr>
        <w:numPr>
          <w:ilvl w:val="0"/>
          <w:numId w:val="5"/>
        </w:numPr>
      </w:pPr>
      <w:r>
        <w:rPr/>
        <w:t xml:space="preserve">Домченко А.С. Соответствие нормативных административных актов законодательству о защите конкуренции как предмет антимонопольного контроля: теоретико-прикладные проблемы // Конкурентное право, 2022, N 2</w:t>
      </w:r>
    </w:p>
    <w:p>
      <w:pPr>
        <w:numPr>
          <w:ilvl w:val="0"/>
          <w:numId w:val="5"/>
        </w:numPr>
      </w:pPr>
      <w:r>
        <w:rPr/>
        <w:t xml:space="preserve">Загайнов В.В., Кузнецов Е.В. ПОНЯТИЕ «НЕДОБРОСОВЕСТНАЯ КОНКУРЕНЦИЯ» С ПОЗИЦИИ ЧАСТНЫХ И ПУБЛИЧНЫХ ПРАВООТНОШЕНИЙ </w:t>
      </w:r>
      <w:hyperlink r:id="rId9" w:history="1">
        <w:r>
          <w:rPr/>
          <w:t xml:space="preserve">https://cyberleninka.ru/article/n/ponyatie-nedobrosovestnaya-konkurentsiya-s-pozitsii-chastnyh-i-publichnyh-pravootnosheniy</w:t>
        </w:r>
      </w:hyperlink>
    </w:p>
    <w:p>
      <w:pPr>
        <w:numPr>
          <w:ilvl w:val="0"/>
          <w:numId w:val="5"/>
        </w:numPr>
      </w:pPr>
      <w:r>
        <w:rPr/>
        <w:t xml:space="preserve">Кинёв А. Ю. Класификация антиконкурентных соглашений в антимонопольном законодательстве Российской Федерации </w:t>
      </w:r>
      <w:hyperlink r:id="rId10" w:history="1">
        <w:r>
          <w:rPr/>
          <w:t xml:space="preserve">https://cyberleninka.ru/article/n/klasifikatsiya-antikonkurentnyh-soglasheniy-v-antimonopolnom-zakonodatelstve-rossiyskoy-federatsii</w:t>
        </w:r>
      </w:hyperlink>
    </w:p>
    <w:p>
      <w:pPr>
        <w:numPr>
          <w:ilvl w:val="0"/>
          <w:numId w:val="5"/>
        </w:numPr>
      </w:pPr>
      <w:r>
        <w:rPr/>
        <w:t xml:space="preserve">Кинев А.Ю. АНТИМОНОПОЛЬНЫЙ КОМПЛАЕНС КАК ОБСТОЯТЕЛЬСТВО, СМЯГЧАЮЩЕЕ АДМИНИСТРАТИВНУЮ ОТВЕТСТВЕННОСТЬ </w:t>
      </w:r>
      <w:hyperlink r:id="rId11" w:history="1">
        <w:r>
          <w:rPr/>
          <w:t xml:space="preserve">https://cyberleninka.ru/article/n/antimonopolnyy-komplaens-kak-obstoyatelstvo-smyagchayuschee-administrativnuyu-otvetstvennost</w:t>
        </w:r>
      </w:hyperlink>
    </w:p>
    <w:p>
      <w:pPr>
        <w:numPr>
          <w:ilvl w:val="0"/>
          <w:numId w:val="5"/>
        </w:numPr>
      </w:pPr>
      <w:r>
        <w:rPr/>
        <w:t xml:space="preserve">Князева И.В., Бондаренко И.В., Падерина К.В. Экспертные процедуры и возможности при рассмотрении дел, связанных с нарушением антимонопольного законодательства </w:t>
      </w:r>
      <w:hyperlink r:id="rId12" w:history="1">
        <w:r>
          <w:rPr/>
          <w:t xml:space="preserve">https://cyberleninka.ru/article/n/ekspertnye-protsedury-i-vozmozhnosti-pri-rassmotrenii-del-svyazannyh-s-narusheniem-antimonopolnogo-zakonodatelstva</w:t>
        </w:r>
      </w:hyperlink>
    </w:p>
    <w:p>
      <w:pPr>
        <w:numPr>
          <w:ilvl w:val="0"/>
          <w:numId w:val="5"/>
        </w:numPr>
      </w:pPr>
      <w:r>
        <w:rPr/>
        <w:t xml:space="preserve">Кудрявцева Л.В., Бызова Е.А. </w:t>
      </w:r>
      <w:hyperlink r:id="rId13" w:history="1">
        <w:r>
          <w:rPr/>
          <w:t xml:space="preserve">АНТИМОНОПОЛЬНЫЙ КОМПЛАЕНС: ПРАВОВОЕ РЕГУЛИРОВАНИЕ</w:t>
        </w:r>
      </w:hyperlink>
      <w:r>
        <w:rPr/>
        <w:t xml:space="preserve"> </w:t>
      </w:r>
      <w:hyperlink r:id="rId13" w:history="1">
        <w:r>
          <w:rPr/>
          <w:t xml:space="preserve">https://cyberleninka.ru/article/n/antimonopolnyy-komplaens-pravovoe-regulirovanie</w:t>
        </w:r>
      </w:hyperlink>
    </w:p>
    <w:p>
      <w:pPr>
        <w:numPr>
          <w:ilvl w:val="0"/>
          <w:numId w:val="5"/>
        </w:numPr>
      </w:pPr>
      <w:r>
        <w:rPr/>
        <w:t xml:space="preserve">Мазуренко А.П. </w:t>
      </w:r>
      <w:hyperlink r:id="rId14" w:history="1">
        <w:r>
          <w:rPr/>
          <w:t xml:space="preserve">ЭКСПЕРТИЗА НОРМАТИВНЫХ ПРАВОВЫХ АКТОВ КАК СРЕДСТВО ПРАВОТВОРЧЕСКОЙ ПОЛИТИКИ</w:t>
        </w:r>
      </w:hyperlink>
      <w:r>
        <w:rPr/>
        <w:t xml:space="preserve"> </w:t>
      </w:r>
      <w:hyperlink r:id="rId14" w:history="1">
        <w:r>
          <w:rPr/>
          <w:t xml:space="preserve">https://cyberleninka.ru/article/n/ekspertiza-normativnyh-pravovyh-aktov-kak-sredstvo-pravotvorcheskoy-politiki</w:t>
        </w:r>
      </w:hyperlink>
    </w:p>
    <w:p>
      <w:pPr>
        <w:numPr>
          <w:ilvl w:val="0"/>
          <w:numId w:val="5"/>
        </w:numPr>
      </w:pPr>
      <w:r>
        <w:rPr/>
        <w:t xml:space="preserve">Ковтун Н.Н,, Ковтун И.С. </w:t>
      </w:r>
      <w:hyperlink r:id="rId15" w:history="1">
        <w:r>
          <w:rPr/>
          <w:t xml:space="preserve">ПРАВОВАЯ ЭКСПЕРТИЗА НОРМАТИВНОГО ПРАВОВОГО АКТА В РОССИИ: В ОТСУТСТВИИ ПРЕДМЕТА И ЦЕЛИ, ДОСТОВЕРНЫХ МЕТОДИК И СРЕДСТВ, С НЕОБЯЗАТЕЛЬНОСТЬЮ ЕЕ РЕЗУЛЬТАТА</w:t>
        </w:r>
      </w:hyperlink>
      <w:r>
        <w:rPr/>
        <w:t xml:space="preserve"> </w:t>
      </w:r>
      <w:hyperlink r:id="rId15" w:history="1">
        <w:r>
          <w:rPr/>
          <w:t xml:space="preserve">https://cyberleninka.ru/article/n/pravovaya-ekspertiza-normativnogo-pravovogo-akta-v-rossii-v-otsutstvii-predmeta-i-tseli-dostovernyh-metodik-i-sredstv-s</w:t>
        </w:r>
      </w:hyperlink>
    </w:p>
    <w:p>
      <w:pPr>
        <w:numPr>
          <w:ilvl w:val="0"/>
          <w:numId w:val="5"/>
        </w:numPr>
      </w:pPr>
      <w:r>
        <w:rPr/>
        <w:t xml:space="preserve">Скоробогатов А.В. </w:t>
      </w:r>
      <w:hyperlink r:id="rId16" w:history="1">
        <w:r>
          <w:rPr/>
          <w:t xml:space="preserve">АКСИОЛОГИЧЕСКИЕ АСПЕКТЫ ПРАВОВОЙ ЭКСПЕРТИЗЫ НОРМАТИВНЫХ ПРАВОВЫХ АКТОВ</w:t>
        </w:r>
      </w:hyperlink>
      <w:r>
        <w:rPr/>
        <w:t xml:space="preserve"> </w:t>
      </w:r>
      <w:hyperlink r:id="rId16" w:history="1">
        <w:r>
          <w:rPr/>
          <w:t xml:space="preserve">https://cyberleninka.ru/article/n/aksiologicheskie-aspekty-pravovoy-ekspertizy-normativnyh-pravovyh-aktov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 и Интернет-ресурсы:</w:t>
      </w:r>
    </w:p>
    <w:p>
      <w:pPr/>
      <w:r>
        <w:rPr/>
        <w:t xml:space="preserve">ПО: ABBYY FineReader 9.0 Corporate Edition (ABBYY FineReader 9.0 Corporate Edition, AF90-3U1V01-102, 03.10.2008); Microsoft Office Professional Plus 2013/10/07 (Microsoft Office Professional Plus 2013/10/07, лицензия № 64416052, от 26.11.2014); Windows 7 Professional (предустановленопроизводителем); Dr. Web (серийныйномер LZ2T-4M8C-JXKG-E4ZS от 2018-01-20 по 2021-02-24).</w:t>
      </w:r>
    </w:p>
    <w:p>
      <w:pPr/>
      <w:r>
        <w:rPr/>
        <w:t xml:space="preserve">Свободно распространяемое ПО: VideoLAN VLC, 7-ZIP, Far Manager, Macromedia Flash Player, Google Chrome, K-Lite Codec Pack (Full), Adobe Acrobat Reader8.4.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Интернет-ресурсы свободного доступа:</w:t>
      </w:r>
    </w:p>
    <w:p>
      <w:pPr/>
      <w:hyperlink r:id="rId17" w:history="1">
        <w:r>
          <w:rPr/>
          <w:t xml:space="preserve">http://www.sudrf.ru/</w:t>
        </w:r>
      </w:hyperlink>
    </w:p>
    <w:p>
      <w:pPr/>
      <w:hyperlink r:id="rId18" w:history="1">
        <w:r>
          <w:rPr/>
          <w:t xml:space="preserve">http://www.kad.arbitr.ru</w:t>
        </w:r>
      </w:hyperlink>
    </w:p>
    <w:p>
      <w:pPr/>
      <w:hyperlink r:id="rId19" w:history="1">
        <w:r>
          <w:rPr/>
          <w:t xml:space="preserve">http://www.consultant.ru/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2573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67924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5691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3580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34F0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E60C5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yberleninka.ru/article/n/komplaens-kak-instrument-upravleniya-pravovymi-riskami-k-postanovke-voprosa-o-soblyudenii-balansa-interesov-mezhdu" TargetMode="External"/><Relationship Id="rId8" Type="http://schemas.openxmlformats.org/officeDocument/2006/relationships/hyperlink" Target="https://cyberleninka.ru/article/n/otdelnye-aspekty-primeneniya-mer-administrativnoy-otvetstvennosti-za-narushenie-antimonopolnogo-zakonodatelstva" TargetMode="External"/><Relationship Id="rId9" Type="http://schemas.openxmlformats.org/officeDocument/2006/relationships/hyperlink" Target="https://cyberleninka.ru/article/n/ponyatie-nedobrosovestnaya-konkurentsiya-s-pozitsii-chastnyh-i-publichnyh-pravootnosheniy" TargetMode="External"/><Relationship Id="rId10" Type="http://schemas.openxmlformats.org/officeDocument/2006/relationships/hyperlink" Target="https://cyberleninka.ru/article/n/klasifikatsiya-antikonkurentnyh-soglasheniy-v-antimonopolnom-zakonodatelstve-rossiyskoy-federatsii" TargetMode="External"/><Relationship Id="rId11" Type="http://schemas.openxmlformats.org/officeDocument/2006/relationships/hyperlink" Target="https://cyberleninka.ru/article/n/antimonopolnyy-komplaens-kak-obstoyatelstvo-smyagchayuschee-administrativnuyu-otvetstvennost" TargetMode="External"/><Relationship Id="rId12" Type="http://schemas.openxmlformats.org/officeDocument/2006/relationships/hyperlink" Target="https://cyberleninka.ru/article/n/ekspertnye-protsedury-i-vozmozhnosti-pri-rassmotrenii-del-svyazannyh-s-narusheniem-antimonopolnogo-zakonodatelstva" TargetMode="External"/><Relationship Id="rId13" Type="http://schemas.openxmlformats.org/officeDocument/2006/relationships/hyperlink" Target="https://cyberleninka.ru/article/n/antimonopolnyy-komplaens-pravovoe-regulirovanie" TargetMode="External"/><Relationship Id="rId14" Type="http://schemas.openxmlformats.org/officeDocument/2006/relationships/hyperlink" Target="https://cyberleninka.ru/article/n/ekspertiza-normativnyh-pravovyh-aktov-kak-sredstvo-pravotvorcheskoy-politiki" TargetMode="External"/><Relationship Id="rId15" Type="http://schemas.openxmlformats.org/officeDocument/2006/relationships/hyperlink" Target="https://cyberleninka.ru/article/n/pravovaya-ekspertiza-normativnogo-pravovogo-akta-v-rossii-v-otsutstvii-predmeta-i-tseli-dostovernyh-metodik-i-sredstv-s" TargetMode="External"/><Relationship Id="rId16" Type="http://schemas.openxmlformats.org/officeDocument/2006/relationships/hyperlink" Target="https://cyberleninka.ru/article/n/aksiologicheskie-aspekty-pravovoy-ekspertizy-normativnyh-pravovyh-aktov" TargetMode="External"/><Relationship Id="rId17" Type="http://schemas.openxmlformats.org/officeDocument/2006/relationships/hyperlink" Target="http://www.sudrf.ru/" TargetMode="External"/><Relationship Id="rId18" Type="http://schemas.openxmlformats.org/officeDocument/2006/relationships/hyperlink" Target="http://www.kad.arbitr.ru" TargetMode="External"/><Relationship Id="rId19" Type="http://schemas.openxmlformats.org/officeDocument/2006/relationships/hyperlink" Target="http://www.consult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2026-04-23T19:00:24+03:00</dcterms:created>
  <dcterms:modified xsi:type="dcterms:W3CDTF">2026-04-23T19:00:24+03:00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