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ind w:left="0" w:right="0" w:firstLine="0"/>
        <w:spacing w:before="0" w:after="0" w:line="240" w:lineRule="auto"/>
      </w:pPr>
      <w:r>
        <w:rPr>
          <w:sz w:val="24"/>
          <w:szCs w:val="24"/>
          <w:i/>
          <w:iCs/>
        </w:rPr>
        <w:t xml:space="preserve">Годы обучения по образовательной программе 2022-2028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Петрозаводский государственный университет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Медицинский институт имени профессора А.П. Зильбера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/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УТВЕРЖДАЮ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Проректор по учебной работе</w:t>
      </w: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______________ К.Г. Тарасов</w:t>
      </w: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«____» ________ 2022 г.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  <w:b/>
          <w:bCs/>
        </w:rPr>
        <w:t xml:space="preserve">РАБОЧАЯ ПРОГРАММА ПРАКТИКИ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  <w:b/>
          <w:bCs/>
        </w:rPr>
        <w:t xml:space="preserve">ПРОИЗВОДСТВЕННАЯ ПРАКТИКА ПО ПОЛУЧЕНИЮ ПРОФЕССИОНАЛЬНЫХ УМЕНИЙ И ОПЫТА ПРОФЕССИОНАЛЬНОЙ ДЕЯТЕЛЬНОСТИ ПРОЦЕДУРНОЙ МЕДИЦИНСКОЙ СЕСТРЫ</w:t>
      </w:r>
    </w:p>
    <w:p/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Направление подготовки специалитета</w:t>
      </w:r>
    </w:p>
    <w:p/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31.05.01 Лечебное дело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Форма обучения очная</w:t>
      </w:r>
    </w:p>
    <w:p>
      <w:pPr>
        <w:spacing w:before="0" w:after="0"/>
      </w:pPr>
      <w:pPr>
        <w:rPr>
          <w:sz w:val="28"/>
          <w:szCs w:val="28"/>
        </w:rPr>
      </w:pPr>
    </w:p>
    <w:p>
      <w:pPr>
        <w:spacing w:before="0" w:after="0"/>
      </w:pPr>
      <w:pPr>
        <w:rPr>
          <w:sz w:val="28"/>
          <w:szCs w:val="28"/>
        </w:rPr>
      </w:pPr>
    </w:p>
    <w:p>
      <w:pPr>
        <w:spacing w:before="0" w:after="0"/>
      </w:pPr>
      <w:pPr>
        <w:rPr>
          <w:sz w:val="28"/>
          <w:szCs w:val="28"/>
        </w:rPr>
      </w:pPr>
    </w:p>
    <w:p>
      <w:pPr>
        <w:spacing w:before="0" w:after="0"/>
      </w:pPr>
      <w:pPr>
        <w:rPr>
          <w:sz w:val="28"/>
          <w:szCs w:val="28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Петрозаводск</w:t>
      </w:r>
    </w:p>
    <w:p>
      <w:pPr>
        <w:jc w:val="center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2022</w:t>
      </w:r>
    </w:p>
    <w:p>
      <w:r>
        <w:br w:type="page"/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Рабочая программа дисциплины разработана в соответствии с ФГОС ВО, утвержденным приказом Министерства науки и высшего образования Российской Федерации от 12.08.2020 г. N 988 (с изменениями от 27.02.2023 г. №208, от 19.07.2022 №662, от 26.11.2020 №1456) и учебным планом по направлению подготовки специалитета 31.05.01 Лечебное дело .	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Разработчик(и):</w:t>
      </w:r>
    </w:p>
    <w:p>
      <w:pPr>
        <w:jc w:val="both"/>
        <w:ind w:left="0" w:right="0" w:firstLine="0"/>
        <w:spacing w:line="240" w:lineRule="auto"/>
      </w:pPr>
      <w:r>
        <w:rPr>
          <w:sz w:val="24"/>
          <w:szCs w:val="24"/>
        </w:rPr>
        <w:t xml:space="preserve">Куликовская Татьяна Михайловна, доцент, кафедра общей и факультетской хирургии, кандидат медицинских наук; Белавина Ирина Александровна, доцент, кафедра пропедевтики внутренних болезней и гигиены, кандидат медицинских наук; </w:t>
      </w:r>
    </w:p>
    <w:p>
      <w:pPr>
        <w:jc w:val="right"/>
        <w:ind w:left="0" w:right="0" w:firstLine="0"/>
        <w:spacing w:line="240" w:lineRule="auto"/>
      </w:pPr>
      <w:r>
        <w:rPr>
          <w:sz w:val="20"/>
          <w:szCs w:val="20"/>
          <w:i/>
          <w:iCs/>
        </w:rPr>
        <w:t xml:space="preserve">(подпись)	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Эксперт(ы):</w:t>
      </w:r>
    </w:p>
    <w:p>
      <w:pPr>
        <w:jc w:val="lowKashida"/>
        <w:spacing w:line="240" w:lineRule="auto"/>
      </w:pPr>
      <w:r>
        <w:rPr>
          <w:sz w:val="24"/>
          <w:szCs w:val="24"/>
        </w:rPr>
        <w:t xml:space="preserve">_______________________, ___________________________________________________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(ФИО полностью) 	 		 (должность, место работы, ученая степень, звание)	</w:t>
      </w:r>
    </w:p>
    <w:p/>
    <w:p>
      <w:pPr>
        <w:jc w:val="lowKashida"/>
        <w:spacing w:line="240" w:lineRule="auto"/>
      </w:pPr>
      <w:r>
        <w:rPr>
          <w:sz w:val="24"/>
          <w:szCs w:val="24"/>
        </w:rPr>
        <w:t xml:space="preserve">___________________________________________________________________________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			(подпись)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Рабочая программа дисциплины рассмотрена и одобрена на заседании кафедры</w:t>
      </w:r>
    </w:p>
    <w:p>
      <w:pPr>
        <w:jc w:val="lowKashida"/>
        <w:spacing w:line="240" w:lineRule="auto"/>
      </w:pPr>
      <w:r>
        <w:rPr>
          <w:sz w:val="24"/>
          <w:szCs w:val="24"/>
        </w:rPr>
        <w:t xml:space="preserve">___________________________________________________________________________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(наименование кафедры, разработавшей рабочую программу)	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Протокол № _________ от «______» ___________ 201__ г.	</w:t>
      </w:r>
    </w:p>
    <w:p/>
    <w:p>
      <w:pPr>
        <w:jc w:val="lowKashida"/>
        <w:spacing w:line="240" w:lineRule="auto"/>
      </w:pPr>
      <w:r>
        <w:rPr>
          <w:sz w:val="24"/>
          <w:szCs w:val="24"/>
        </w:rPr>
        <w:t xml:space="preserve">Заведующий кафедрой _____________________________ (ФИО, ученая степень, звание)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			(подпись)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СОГЛАСОВАНО: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Рабочая программа дисциплины рассмотрена и утверждена на заседании учебно-</w:t>
      </w:r>
    </w:p>
    <w:p>
      <w:pPr>
        <w:jc w:val="lowKashida"/>
        <w:spacing w:line="240" w:lineRule="auto"/>
      </w:pPr>
      <w:r>
        <w:rPr>
          <w:sz w:val="24"/>
          <w:szCs w:val="24"/>
        </w:rPr>
        <w:t xml:space="preserve">методической комиссии института ____________________________________________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		     (название института, на котором преподается дисциплина)	</w:t>
      </w:r>
    </w:p>
    <w:p/>
    <w:p>
      <w:pPr>
        <w:jc w:val="lowKashida"/>
        <w:spacing w:line="240" w:lineRule="auto"/>
      </w:pPr>
      <w:r>
        <w:rPr>
          <w:sz w:val="24"/>
          <w:szCs w:val="24"/>
        </w:rPr>
        <w:t xml:space="preserve">Директор института _________________________________ (ФИО, ученая степень, звание)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			(подпись)</w:t>
      </w:r>
    </w:p>
    <w:p/>
    <w:p>
      <w:pPr>
        <w:jc w:val="left"/>
        <w:ind w:left="0" w:right="0" w:firstLine="0"/>
        <w:spacing w:line="240" w:lineRule="auto"/>
      </w:pPr>
      <w:r>
        <w:rPr>
          <w:sz w:val="24"/>
          <w:szCs w:val="24"/>
        </w:rPr>
        <w:t xml:space="preserve">Начальник методического отдела</w:t>
      </w:r>
    </w:p>
    <w:p>
      <w:pPr>
        <w:jc w:val="left"/>
        <w:ind w:left="0" w:right="0" w:firstLine="0"/>
        <w:spacing w:line="240" w:lineRule="auto"/>
      </w:pPr>
      <w:r>
        <w:rPr>
          <w:sz w:val="24"/>
          <w:szCs w:val="24"/>
        </w:rPr>
        <w:t xml:space="preserve">учебно-методического управления ПетрГУ _________________________ И.В. Маханькова</w:t>
      </w:r>
    </w:p>
    <w:p>
      <w:r>
        <w:br w:type="page"/>
      </w:r>
    </w:p>
    <w:p>
      <w:pPr>
        <w:sectPr>
          <w:pgSz w:orient="portrait" w:w="11905.511811023622" w:h="16837.79527559055"/>
          <w:pgMar w:top="1133.8582677165352" w:right="850.3937007874015" w:bottom="1440" w:left="1700.787401574803" w:header="720" w:footer="720" w:gutter="0"/>
          <w:cols w:num="1" w:space="720"/>
        </w:sectPr>
      </w:pP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1. Вид практики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2. Тип практики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3. Цели практики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4. Задачи практики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5. Способы, формы и возможные места проведения практики</w:t>
      </w:r>
    </w:p>
    <w:p>
      <w:pPr/>
    </w:p>
    <w:p>
      <w:pPr/>
      <w:r>
        <w:rPr/>
        <w:t xml:space="preserve">Форма проведения практики: </w:t>
      </w:r>
      <w:r>
        <w:rPr>
          <w:b/>
          <w:bCs/>
        </w:rPr>
        <w:t xml:space="preserve">дискретная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6.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 (ОПОП) специалитета</w:t>
      </w:r>
    </w:p>
    <w:tbl>
      <w:tblGrid>
        <w:gridCol w:w="2500" w:type="dxa"/>
        <w:gridCol w:w="2500" w:type="dxa"/>
        <w:gridCol w:w="5000" w:type="dxa"/>
      </w:tblGrid>
      <w:tblPr>
        <w:jc w:val="start"/>
        <w:tblW w:w="0" w:type="auto"/>
        <w:tblLayout w:type="fixed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/>
        <w:tc>
          <w:tcPr>
            <w:tcW w:w="2500" w:type="dxa"/>
          </w:tcPr>
          <w:p>
            <w:pPr>
              <w:jc w:val="center"/>
              <w:ind w:left="0" w:right="0" w:firstLine="0"/>
            </w:pPr>
            <w:r>
              <w:rPr>
                <w:b/>
                <w:bCs/>
              </w:rPr>
              <w:t xml:space="preserve">Код компетенции. Этап формирования компетенции</w:t>
            </w:r>
          </w:p>
        </w:tc>
        <w:tc>
          <w:tcPr>
            <w:tcW w:w="2500" w:type="dxa"/>
          </w:tcPr>
          <w:p>
            <w:pPr>
              <w:jc w:val="center"/>
              <w:ind w:left="0" w:right="0" w:firstLine="0"/>
            </w:pPr>
            <w:r>
              <w:rPr>
                <w:b/>
                <w:bCs/>
              </w:rPr>
              <w:t xml:space="preserve">Формулировка компетенции</w:t>
            </w:r>
          </w:p>
        </w:tc>
        <w:tc>
          <w:tcPr>
            <w:tcW w:w="5000" w:type="dxa"/>
          </w:tcPr>
          <w:p>
            <w:pPr>
              <w:jc w:val="center"/>
              <w:ind w:left="0" w:right="0" w:firstLine="0"/>
            </w:pPr>
            <w:r>
              <w:rPr>
                <w:b/>
                <w:bCs/>
              </w:rPr>
              <w:t xml:space="preserve">Планируемые результаты обучения</w:t>
            </w:r>
            <w:br/>
            <w:r>
              <w:rPr/>
              <w:t xml:space="preserve">(индикаторы достижения компетенции)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УК-5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
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
УК-5.3.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УК-8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УК-8.1. Обеспечивает безопасные и/или комфортные условия труда на рабочем месте.
УК-8.2. Выявляет и устраняет проблемы, связанные с нарушениями техники безопасности на рабочем месте.
УК-8.3. Осуществляет действия по предотвращению возникновения чрезвычайных ситуаций (природного и техногенного происхождения) на рабочем месте.
УК-8.4. 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УК-9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здоровья;
УК-9.2. Планирует и осуществляет профессиональную деятельность с
лицами с ограниченными возможностями здоровья;
УК-9.3. Взаимодействует с людьми с ограниченными возможностями здоровья в социальной и профессиональной сферах.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ОПК-1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ОПК-1.1. Использует принципы врачебной этики и деонтологии в профессиональной деятельности;
ОПК-1.2. Применяет законодательство Российской Федерации в сфере охраны здоровья и нормативные правовые акты, определяющие
деятельность медицинских работников и медицинских организаций в профессиональной деятельности.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ОПК-2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ОПК-2.1. Проводит профилактические медицинские осмотры пациентов с учетом их возраста, состояния здоровья в соответствие с действующими нормативными правовыми актами;
ОПК-2.2. Проводит и осуществляет контроль профилактических мероприятий, направленных на сохранение и укрепление здоровья пациентов, с учетом их возраста, факторов риска для предупреждения и раннего выявления заболеваний, в том числе социально значимых заболеваний;
ОПК-2.3. Проводит и осуществляет контроль мероприятий по формированию здорового образа жизни и санитарно-гигиенического просвещения населения.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ОПК-6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ОПК-6.1. Организует уход за больными;
ОПК-6.2. Обеспечивает организацию работы и принятие профессиональных решений при неотложных состояниях на догоспитальном этапе;
ОПК-6.3. Оказывает первичную медико-санитарную помощь на догоспитальном этапе, в том числе в условиях чрезвычайных ситуаций, эпидемий и в очагах массового поражения.</w:t>
            </w:r>
          </w:p>
        </w:tc>
      </w:tr>
    </w:tbl>
    <w:p>
      <w:pPr>
        <w:jc w:val="numTab"/>
        <w:spacing w:before="280" w:after="280" w:line="240" w:lineRule="auto"/>
      </w:pPr>
      <w:r>
        <w:rPr>
          <w:b/>
          <w:bCs/>
        </w:rPr>
        <w:t xml:space="preserve">7. Место практики в структуре ОПОП специалитета</w:t>
      </w:r>
    </w:p>
    <w:p>
      <w:pPr/>
      <w:r>
        <w:rPr/>
        <w:t xml:space="preserve">Дисциплина "Производственная практика по получению профессиональных умений и опыта профессиональной деятельности процедурной медицинской сестры" входит в обязательную часть учебного плана основной образовательной программы специалитета по данному направлению подготовки и является обязательной для изучения дисциплиной.</w:t>
      </w:r>
    </w:p>
    <w:p>
      <w:pPr/>
      <w:r>
        <w:rPr/>
        <w:t xml:space="preserve">Согласно учебному плану дисциплина проводится в 7, 6 семестре.</w:t>
      </w:r>
    </w:p>
    <w:p>
      <w:pPr/>
      <w:r>
        <w:rPr/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 и прохождении практики: .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8. Объём практики и ее продолжительность</w:t>
      </w:r>
    </w:p>
    <w:p>
      <w:pPr>
        <w:jc w:val="left"/>
        <w:ind w:left="468" w:right="0" w:firstLine="0"/>
      </w:pPr>
      <w:r>
        <w:rPr/>
        <w:t xml:space="preserve">Объём практики составляет 6 зачетных единиц.</w:t>
      </w:r>
      <w:br/>
      <w:r>
        <w:rPr/>
        <w:t xml:space="preserve">Продолжительность практики 4 недель.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9. Структура и краткое содержание практики по разделам и видам работ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10. Содержание практики по разделам и видам работ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11. Образовательные, научно-исследовательские и научно-производственные технологии, используемые на практике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12. Методические рекомендации обучающимся по прохождению практики, формы отчетности и учебно-методическое обеспечение самостоятельной работы обучающихся по практике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13. Оценочные средства для текущего контроля успеваемости, промежуточной аттестации обучающихся по практике с критериями оценивания</w:t>
      </w:r>
    </w:p>
    <w:p>
      <w:pPr>
        <w:jc w:val="numTab"/>
        <w:spacing w:before="280" w:after="280" w:line="240" w:lineRule="auto"/>
      </w:pPr>
      <w:r>
        <w:rPr/>
        <w:t xml:space="preserve">13.1. Текущий контроль осуществляется преподавателем дисциплины при проведении занятий в форме: </w:t>
      </w:r>
      <w:r>
        <w:rPr/>
        <w:t xml:space="preserve"/>
      </w:r>
    </w:p>
    <w:p>
      <w:pPr>
        <w:jc w:val="numTab"/>
        <w:spacing w:before="280" w:after="280" w:line="240" w:lineRule="auto"/>
      </w:pPr>
      <w:r>
        <w:rPr/>
        <w:t xml:space="preserve"/>
      </w:r>
    </w:p>
    <w:p>
      <w:pPr>
        <w:jc w:val="numTab"/>
        <w:spacing w:before="280" w:after="280" w:line="240" w:lineRule="auto"/>
      </w:pPr>
      <w:r>
        <w:rPr/>
        <w:t xml:space="preserve">13.2. Промежуточная аттестация проводится в виде: производственная практика(зачет с оценкой).</w:t>
      </w:r>
    </w:p>
    <w:p>
      <w:pPr>
        <w:jc w:val="numTab"/>
        <w:spacing w:before="280" w:after="280" w:line="240" w:lineRule="auto"/>
      </w:pPr>
      <w:r>
        <w:rPr/>
        <w:t xml:space="preserve"/>
      </w:r>
    </w:p>
    <w:p>
      <w:pPr>
        <w:jc w:val="numTab"/>
        <w:spacing w:before="280" w:after="280" w:line="240" w:lineRule="auto"/>
      </w:pPr>
      <w:r>
        <w:rPr/>
        <w:t xml:space="preserve">Подробно средства оценивания для проведения промежуточной аттестации обучающихся по практике приведены в Фонде оценочных средств по данной практике.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14. Учебно-методическое и информационное обеспечение практики</w:t>
      </w:r>
    </w:p>
    <w:p>
      <w:pPr>
        <w:jc w:val="numTab"/>
        <w:spacing w:before="280" w:after="280" w:line="240" w:lineRule="auto"/>
      </w:pPr>
      <w:r>
        <w:rPr/>
        <w:t xml:space="preserve">Библиографический список документов</w:t>
      </w:r>
    </w:p>
    <w:p>
      <w:pPr>
        <w:jc w:val="numTab"/>
        <w:spacing w:before="280" w:after="280" w:line="240" w:lineRule="auto"/>
      </w:pPr>
      <w:r>
        <w:rPr/>
        <w:t xml:space="preserve">14.1. Основная литература:</w:t>
      </w:r>
    </w:p>
    <w:p>
      <w:pPr>
        <w:jc w:val="numTab"/>
        <w:spacing w:before="280" w:after="280" w:line="240" w:lineRule="auto"/>
      </w:pPr>
      <w:r>
        <w:rPr/>
        <w:t xml:space="preserve">14.2. Дополнительная литература:</w:t>
      </w:r>
    </w:p>
    <w:p>
      <w:pPr>
        <w:jc w:val="numTab"/>
        <w:spacing w:before="280" w:after="280" w:line="240" w:lineRule="auto"/>
      </w:pPr>
      <w:r>
        <w:rPr/>
        <w:t xml:space="preserve">14.3. Программное обеспечение и Интернет-ресурсы:</w:t>
      </w:r>
    </w:p>
    <w:p>
      <w:pPr>
        <w:jc w:val="numTab"/>
        <w:spacing w:before="280" w:after="280" w:line="240" w:lineRule="auto"/>
      </w:pPr>
      <w:r>
        <w:rPr/>
        <w:t xml:space="preserve">14.4. Информационное обеспечение дисциплины в системе электронного (дистанционного) обучения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15. Материально-техническое обеспечение практики</w:t>
      </w:r>
    </w:p>
    <w:p>
      <w:pPr>
        <w:jc w:val="numTab"/>
        <w:spacing w:before="280" w:after="280" w:line="240" w:lineRule="auto"/>
      </w:pPr>
      <w:r>
        <w:rPr/>
        <w:t xml:space="preserve">Дата «_____» _________2024 г.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proofState w:spelling="clean" w:grammar="clean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2024-03-28T20:47:32+03:00</dcterms:created>
  <dcterms:modified xsi:type="dcterms:W3CDTF">2024-03-28T20:47:32+03:00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