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 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 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 инфекционных и неинфекционных заболеваний у детей,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 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 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детей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детей, с учетом их возраста, факторов риска для предупреждения и раннего выявления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 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 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 Уметь: оказать первичную медико-санитарную помощь на догоспитальном этапе при неотложных состояниях в клинике внутренних болезней 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 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 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ребенка-инвалида,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 Уметь: составить план медицинской реабилитации и оценить трудоспособность при терапевтических и профессиональных заболеваниях 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 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 Уметь: оценить качество оказания медицинской помощи при терапевтической и профессиональной патологии в соответствии с клиническими рекомендациями 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 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 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Основные клинические синдромы. Синдром раздраженного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синдромы: диагностика и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Определение,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Пневмокониозы. Профессиональные аллергические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интоксикации. Профессиональные болезни от физических факторов (шум, вибрация)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 и гломерулонефриты.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 по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разбором клинического кейса)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академической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/>
        <w:t xml:space="preserve">Пример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/>
    <w:p>
      <w:pPr/>
      <w:r>
        <w:rPr/>
        <w:t xml:space="preserve">Кейс-задача</w:t>
      </w:r>
    </w:p>
    <w:p>
      <w:pPr/>
      <w:r>
        <w:rPr/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/>
        <w:t xml:space="preserve">Критерии оценки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2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2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3"/>
        </w:numPr>
      </w:pPr>
      <w:r>
        <w:rPr/>
        <w:t xml:space="preserve">жалобы;</w:t>
      </w:r>
    </w:p>
    <w:p>
      <w:pPr>
        <w:numPr>
          <w:ilvl w:val="0"/>
          <w:numId w:val="3"/>
        </w:numPr>
      </w:pPr>
      <w:r>
        <w:rPr/>
        <w:t xml:space="preserve">анамнез;</w:t>
      </w:r>
    </w:p>
    <w:p>
      <w:pPr>
        <w:numPr>
          <w:ilvl w:val="0"/>
          <w:numId w:val="3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3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3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3"/>
        </w:numPr>
      </w:pPr>
      <w:r>
        <w:rPr/>
        <w:t xml:space="preserve">дневник;</w:t>
      </w:r>
    </w:p>
    <w:p>
      <w:pPr>
        <w:numPr>
          <w:ilvl w:val="0"/>
          <w:numId w:val="3"/>
        </w:numPr>
      </w:pPr>
      <w:r>
        <w:rPr/>
        <w:t xml:space="preserve">прогноз;</w:t>
      </w:r>
    </w:p>
    <w:p>
      <w:pPr>
        <w:numPr>
          <w:ilvl w:val="0"/>
          <w:numId w:val="3"/>
        </w:numPr>
      </w:pPr>
      <w:r>
        <w:rPr/>
        <w:t xml:space="preserve">эпикриза;</w:t>
      </w:r>
    </w:p>
    <w:p>
      <w:pPr>
        <w:numPr>
          <w:ilvl w:val="0"/>
          <w:numId w:val="3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Митральный стеноз: осложнения (клиника, диагностика).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Аортальный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Аортальная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Инфекционный эндокардит: этиология, патогенез, клиника</w:t>
      </w:r>
    </w:p>
    <w:p>
      <w:pPr>
        <w:numPr>
          <w:ilvl w:val="0"/>
          <w:numId w:val="4"/>
        </w:numPr>
      </w:pPr>
      <w:r>
        <w:rPr/>
        <w:t xml:space="preserve">Инфекционный эндокардит: критерии диагноза, классификации,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Экстрасистолия: этиология, критерии ЭКГ диагноза, классификация.</w:t>
      </w:r>
    </w:p>
    <w:p>
      <w:pPr>
        <w:numPr>
          <w:ilvl w:val="0"/>
          <w:numId w:val="4"/>
        </w:numPr>
      </w:pPr>
      <w:r>
        <w:rPr/>
        <w:t xml:space="preserve">Пароксизмальная суправентрикулярная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Пароксизмальная желудочковая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Фибрилляция предсердий: этиология, критерии ЭКГ диагноза, классификация.</w:t>
      </w:r>
    </w:p>
    <w:p>
      <w:pPr>
        <w:numPr>
          <w:ilvl w:val="0"/>
          <w:numId w:val="4"/>
        </w:numPr>
      </w:pPr>
      <w:r>
        <w:rPr/>
        <w:t xml:space="preserve">Фибрилляция предсердий: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Трепетание предсердий: этиология, критерии ЭКГ диагноза, классификация</w:t>
      </w:r>
    </w:p>
    <w:p>
      <w:pPr>
        <w:numPr>
          <w:ilvl w:val="0"/>
          <w:numId w:val="4"/>
        </w:numPr>
      </w:pPr>
      <w:r>
        <w:rPr/>
        <w:t xml:space="preserve">Трепетание предсердий: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Фибрилляция желудочков, асистолия: клиническая и ЭКГ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Нарушения атрио-вентрикулярной проводимости: этиология, критерии ЭКГ диагноза, классификация,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Нарушение проводимости по типу блокады ножек пучка Гиса: этиология, критерии ЭКГ диагноза.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Острая сердечная недостаточность: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Кардиогенный шок: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Гипертоническая болезнь: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Гипертоническая болезнь: классификация, стратификация риска </w:t>
      </w:r>
    </w:p>
    <w:p>
      <w:pPr>
        <w:numPr>
          <w:ilvl w:val="0"/>
          <w:numId w:val="4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клиника, классификация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обследование, показания к коронароангиографии.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Острый инфаркт миокарда: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Острый инфаркт миокарда: оказание неотложной помощи на догоспитальном этапе</w:t>
      </w:r>
    </w:p>
    <w:p>
      <w:pPr>
        <w:numPr>
          <w:ilvl w:val="0"/>
          <w:numId w:val="4"/>
        </w:numPr>
      </w:pPr>
      <w:r>
        <w:rPr/>
        <w:t xml:space="preserve">Острый инфаркт миокарда: лечение неосложненного инфаркта миокарда в стационаре</w:t>
      </w:r>
    </w:p>
    <w:p>
      <w:pPr>
        <w:numPr>
          <w:ilvl w:val="0"/>
          <w:numId w:val="4"/>
        </w:numPr>
      </w:pPr>
      <w:r>
        <w:rPr/>
        <w:t xml:space="preserve">Пневмонии: этиология,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Пневмонии: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Бронхиальная астма: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факторы риска, патогенез, клиника.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классификация, диагностика.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Helocobacterpylori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4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4"/>
        </w:numPr>
      </w:pPr>
      <w:r>
        <w:rPr/>
        <w:t xml:space="preserve">Цирроз печени: печеночная энцефалопатия – диагностика и лечение</w:t>
      </w:r>
    </w:p>
    <w:p>
      <w:pPr>
        <w:numPr>
          <w:ilvl w:val="0"/>
          <w:numId w:val="4"/>
        </w:numPr>
      </w:pPr>
      <w:r>
        <w:rPr/>
        <w:t xml:space="preserve">Цирроз печени: портальная гипертензия – диагностика, лечение, остановка и профилактика кровотечения</w:t>
      </w:r>
    </w:p>
    <w:p>
      <w:pPr>
        <w:numPr>
          <w:ilvl w:val="0"/>
          <w:numId w:val="4"/>
        </w:numPr>
      </w:pPr>
      <w:r>
        <w:rPr/>
        <w:t xml:space="preserve">Цирроз печени: синдром холестаза –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пиелонефрит: этиология, клиника, диагностика, лечение</w:t>
      </w:r>
    </w:p>
    <w:p>
      <w:pPr>
        <w:numPr>
          <w:ilvl w:val="0"/>
          <w:numId w:val="4"/>
        </w:numPr>
      </w:pPr>
      <w:r>
        <w:rPr/>
        <w:t xml:space="preserve">Хронический пиелонефрит: этиология,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Болезнь Крона: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Неспецифический язвенный колит: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Синдром раздраженного кишечника: клиника, диагностика, принципы лечения</w:t>
      </w:r>
    </w:p>
    <w:p>
      <w:pPr>
        <w:numPr>
          <w:ilvl w:val="0"/>
          <w:numId w:val="4"/>
        </w:numPr>
      </w:pPr>
      <w:r>
        <w:rPr/>
        <w:t xml:space="preserve">Дисбиоз – этиология, клиника, диагностика, принципы лечения.</w:t>
      </w:r>
    </w:p>
    <w:p>
      <w:pPr>
        <w:numPr>
          <w:ilvl w:val="0"/>
          <w:numId w:val="4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4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4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4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4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4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4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4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4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4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Клиника.Принципы лечения.</w:t>
      </w:r>
    </w:p>
    <w:p>
      <w:pPr>
        <w:numPr>
          <w:ilvl w:val="0"/>
          <w:numId w:val="4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4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4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4"/>
        </w:numPr>
      </w:pPr>
      <w:r>
        <w:rPr/>
        <w:t xml:space="preserve">Воздействие производственного шума на организм: специфическое - двусторонняя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Плечелопаточныйпериартроз.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Стенозирующиелигаментиты.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Составлено 30 билетов, в каждом по три вопроса, третий вопрос – по профессиональным болезням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</w:t>
      </w:r>
      <w:r>
        <w:rPr/>
        <w:t xml:space="preserve">moodle</w:t>
      </w:r>
      <w:r>
        <w:rPr/>
        <w:t xml:space="preserve">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</w:t>
      </w:r>
      <w:r>
        <w:rPr/>
        <w:t xml:space="preserve"> </w:t>
      </w:r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задачам. Промежуточная аттестация в три этапа - защита истории болезни, тестовый контроль и итоговое собеседование по билетам.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Внутренние болезни : учебник : в 2 т. / под ред. Моисеева В.С., Мартынова А.И., Мухина Н.А. - М. : ГЭОТАР-Медиа, 2019. -Текст:электронный // ЭБС «Консультант студента» : студенческая </w:t>
      </w:r>
      <w:br/>
      <w:r>
        <w:rPr/>
        <w:t xml:space="preserve">электронная библиотека. — Москва, [2012]. - URL :</w:t>
      </w:r>
    </w:p>
    <w:p>
      <w:pPr/>
      <w:r>
        <w:rPr/>
        <w:t xml:space="preserve">Т.1. : http://www.studentlibrary.ru/book/ISBN9785970453148.html</w:t>
      </w:r>
    </w:p>
    <w:p>
      <w:pPr/>
      <w:r>
        <w:rPr/>
        <w:t xml:space="preserve">Т.2. </w:t>
      </w:r>
      <w:hyperlink r:id="rId9" w:history="1">
        <w:r>
          <w:rPr/>
          <w:t xml:space="preserve">http://www.studentlibrary.ru/book/ISBN9785970453155.html </w:t>
        </w:r>
      </w:hyperlink>
      <w:r>
        <w:rPr/>
        <w:t xml:space="preserve"> (дата обращения: 18.05.2020). </w:t>
      </w:r>
    </w:p>
    <w:p>
      <w:pPr>
        <w:numPr>
          <w:ilvl w:val="0"/>
          <w:numId w:val="7"/>
        </w:numPr>
      </w:pPr>
      <w:r>
        <w:rPr/>
        <w:t xml:space="preserve">Внутренние болезни : учебник : в 2 т. / под ред. А. И. Мартынова, Ж. Д. Кобалава, С. В. Моисеева. - 4-е изд., перераб. - Москва : ГЭОТАР-Медиа, 2021. – -Текст:электронный // ЭБС «Консультант студента» : студенческая  электронная библиотека. — Москва, [2012].</w:t>
      </w:r>
    </w:p>
    <w:p>
      <w:pPr/>
      <w:r>
        <w:rPr/>
        <w:t xml:space="preserve">Т. I. - 784 с.- URL : </w:t>
      </w:r>
      <w:hyperlink r:id="rId10" w:history="1">
        <w:r>
          <w:rPr/>
          <w:t xml:space="preserve">https://www.studentlibrary.ru/book/ISBN9785970458860.html</w:t>
        </w:r>
      </w:hyperlink>
    </w:p>
    <w:p>
      <w:pPr/>
      <w:r>
        <w:rPr/>
        <w:t xml:space="preserve">Т. II. - 704 с. URL : </w:t>
      </w:r>
      <w:hyperlink r:id="rId11" w:history="1">
        <w:r>
          <w:rPr/>
          <w:t xml:space="preserve">https://www.studentlibrary.ru/book/ISBN9785970458877.html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8"/>
        </w:numPr>
      </w:pPr>
      <w:r>
        <w:rPr/>
        <w:t xml:space="preserve">Профессиональные болезни : учебник / Н. А. Мухин [и др. ]. - 2-е изд. , перераб. и доп. - Москва : ГЭОТАР?Медиа, 2020. - 512 с. : ил. - 512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–</w:t>
      </w:r>
    </w:p>
    <w:p>
      <w:pPr/>
      <w:r>
        <w:rPr>
          <w:b w:val="1"/>
          <w:bCs w:val="1"/>
        </w:rPr>
        <w:t xml:space="preserve"> </w:t>
      </w:r>
      <w:r>
        <w:rPr/>
        <w:t xml:space="preserve">URL</w:t>
      </w:r>
      <w:r>
        <w:rPr>
          <w:b w:val="1"/>
          <w:bCs w:val="1"/>
        </w:rPr>
        <w:t xml:space="preserve"> :</w:t>
      </w:r>
      <w:r>
        <w:rPr/>
        <w:t xml:space="preserve"> </w:t>
      </w:r>
      <w:hyperlink r:id="rId12" w:history="1">
        <w:r>
          <w:rPr/>
          <w:t xml:space="preserve">https://www.studentlibrary.ru/book/ISBN9785970461655.html </w:t>
        </w:r>
      </w:hyperlink>
      <w:r>
        <w:rPr/>
        <w:t xml:space="preserve"> 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13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9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4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9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5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9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6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9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7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9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9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8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9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9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9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9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9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20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9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21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9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22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9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«Педиатрия»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58 с. - </w:t>
      </w:r>
      <w:r>
        <w:rPr/>
        <w:t xml:space="preserve">Текст : электронный // eLibrary.karelia.ru : электронная библиотека Республики Карелия.— Петрозаводск, cop. 1998–2021. —URL:  </w:t>
      </w:r>
    </w:p>
    <w:p>
      <w:pPr/>
      <w:hyperlink r:id="rId23" w:history="1">
        <w:r>
          <w:rPr/>
          <w:t xml:space="preserve">http://elibrary.karelia.ru/book.shtml?id=40357#t20c</w:t>
        </w:r>
      </w:hyperlink>
      <w:r>
        <w:rPr/>
        <w:t xml:space="preserve"> (12.05.2020)</w:t>
      </w:r>
    </w:p>
    <w:p>
      <w:pPr>
        <w:numPr>
          <w:ilvl w:val="0"/>
          <w:numId w:val="10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4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6" w:history="1">
        <w:r>
          <w:rPr/>
          <w:t xml:space="preserve">http://www.rosmedlib.ru</w:t>
        </w:r>
      </w:hyperlink>
    </w:p>
    <w:p>
      <w:pPr/>
      <w:hyperlink r:id="rId24" w:history="1">
        <w:r>
          <w:rPr/>
          <w:t xml:space="preserve">https://www.studentlibrary.ru</w:t>
        </w:r>
      </w:hyperlink>
    </w:p>
    <w:p>
      <w:pPr/>
      <w:hyperlink r:id="rId13" w:history="1">
        <w:r>
          <w:rPr/>
          <w:t xml:space="preserve">http://elibrary.karelia.ru</w:t>
        </w:r>
      </w:hyperlink>
    </w:p>
    <w:p>
      <w:pPr/>
      <w:hyperlink r:id="rId17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Лизенко М.В.,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5" w:history="1">
        <w:r>
          <w:rPr/>
          <w:t xml:space="preserve">https://moodle2.petrsu..ru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D9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2E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9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56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3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54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7A8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A58E5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FA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E3235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7EB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www.studentlibrary.ru/book/ISBN9785970453155.html" TargetMode="External"/><Relationship Id="rId10" Type="http://schemas.openxmlformats.org/officeDocument/2006/relationships/hyperlink" Target="https://www.studentlibrary.ru/book/ISBN9785970458860.html" TargetMode="External"/><Relationship Id="rId11" Type="http://schemas.openxmlformats.org/officeDocument/2006/relationships/hyperlink" Target="https://www.studentlibrary.ru/book/ISBN9785970458877.html" TargetMode="External"/><Relationship Id="rId12" Type="http://schemas.openxmlformats.org/officeDocument/2006/relationships/hyperlink" Target="https://www.studentlibrary.ru/book/ISBN9785970461655.html" TargetMode="External"/><Relationship Id="rId13" Type="http://schemas.openxmlformats.org/officeDocument/2006/relationships/hyperlink" Target="http://elibrary.karelia.ru/book.shtml?id=29096" TargetMode="External"/><Relationship Id="rId14" Type="http://schemas.openxmlformats.org/officeDocument/2006/relationships/hyperlink" Target="http://elibrary.karelia.ru/book.shtml?id=37955#t20c" TargetMode="External"/><Relationship Id="rId15" Type="http://schemas.openxmlformats.org/officeDocument/2006/relationships/hyperlink" Target="http://elibrary.karelia.ru/book.shtml?levelID=009&amp;id=31896" TargetMode="External"/><Relationship Id="rId16" Type="http://schemas.openxmlformats.org/officeDocument/2006/relationships/hyperlink" Target="http://www.rosmedlib.ru/book/ISBN9785970438725.html" TargetMode="External"/><Relationship Id="rId17" Type="http://schemas.openxmlformats.org/officeDocument/2006/relationships/hyperlink" Target="https://urait.ru/bcode/468208" TargetMode="External"/><Relationship Id="rId18" Type="http://schemas.openxmlformats.org/officeDocument/2006/relationships/hyperlink" Target="http://elibrary.karelia.ru/book.shtml?levelID=009&amp;id=28560" TargetMode="External"/><Relationship Id="rId19" Type="http://schemas.openxmlformats.org/officeDocument/2006/relationships/hyperlink" Target="https://www.studentlibrary.ru/book/skills-3.html" TargetMode="External"/><Relationship Id="rId20" Type="http://schemas.openxmlformats.org/officeDocument/2006/relationships/hyperlink" Target="https://www.studentlibrary.ru/book/ISBN9785970464250" TargetMode="External"/><Relationship Id="rId21" Type="http://schemas.openxmlformats.org/officeDocument/2006/relationships/hyperlink" Target="http://elibrary.karelia.ru/book.shtml?levelID=009&amp;id=31416" TargetMode="External"/><Relationship Id="rId22" Type="http://schemas.openxmlformats.org/officeDocument/2006/relationships/hyperlink" Target="https://urait.ru/bcode/485958" TargetMode="External"/><Relationship Id="rId23" Type="http://schemas.openxmlformats.org/officeDocument/2006/relationships/hyperlink" Target="http://elibrary.karelia.ru/book.shtml?id=40357#t20c" TargetMode="External"/><Relationship Id="rId24" Type="http://schemas.openxmlformats.org/officeDocument/2006/relationships/hyperlink" Target="https://www.studentlibrary.ru/book/ISBN9785970458679.html" TargetMode="External"/><Relationship Id="rId25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2026-04-21T07:24:16+03:00</dcterms:created>
  <dcterms:modified xsi:type="dcterms:W3CDTF">2026-04-21T07:24:16+03:00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