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практика: введение в профессиональную деятельность (О), Библиография (+), Философия (О), Компьютерная графика (О),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Научно-исследовательская работа (ОИ), Подготовка к сдаче и сдача государственного экзамена (И), Выполнение и защита выпускной квалификационной работы (И), История России (НО),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проблемную ситуацию, строить схемы причинно-следственных связей, применять методы системного анализа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Вероятностные модели систем обслуживания (ОИ), Имитационное моделирование (ОИ), Прикладная статистика (Н), Теория игр (ОИ),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Производственная технологическая практика (ОИ), Подготовка к сдаче и сдача государственного экзамена (И), Высокопроизводительный статистический анализ на языке R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системного мышления, методы классического системного анализа, принципы математического моделирования.</w:t>
            </w:r>
          </w:p>
          <w:p/>
          <w:p>
            <w:pPr/>
            <w:r>
              <w:rPr/>
              <w:t xml:space="preserve">ПК-1.2.  Умеет строить схемы причинно-следственных связей, строить и анализировать концептуальные и теоретические модели решаемых научных проблем и задач, в том числе с разработкой алгоритмов, методов и с проведением экспериментов, наблюдений, измерений и анализа данных.</w:t>
            </w:r>
          </w:p>
          <w:p/>
          <w:p>
            <w:pPr/>
            <w:r>
              <w:rPr/>
              <w:t xml:space="preserve">ПК-1.3. Владеет навыками выявления существенных явлений проблемной ситуации, установки причинно-следственных связей между явлениями проблемной ситуации, проведения классификации явлений как фактов, проблем, последствий и причин, проведения обсуждения моделей проблемной ситуации с заинтересованными лицами, установки причин проблем, которые могут быть устранены за счет автоматизации.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CD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B75B9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3F6C7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97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8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E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B1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58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8C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63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8B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0F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FC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F6B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BB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E8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66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00F28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DEC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423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463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0CF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0C3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E2F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57FF15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AA92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2026-04-21T07:44:40+03:00</dcterms:created>
  <dcterms:modified xsi:type="dcterms:W3CDTF">2026-04-21T07:44:40+03:00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