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психологию, Общая и социальная психология.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9E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0417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8804A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7604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B6E8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0D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7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A8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22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139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