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Токко Ольга Владимировна,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</w:t>
            </w:r>
          </w:p>
          <w:p/>
          <w:p>
            <w:pPr/>
            <w:r>
              <w:rPr/>
              <w:t xml:space="preserve">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</w:t>
            </w:r>
          </w:p>
          <w:p/>
          <w:p>
            <w:pPr/>
            <w:r>
              <w:rPr/>
              <w:t xml:space="preserve">ОПК-2.2. Обосновывает задачи исследований и оптимизации сложных объектов на основе методов математического моделирования; </w:t>
            </w:r>
          </w:p>
          <w:p/>
          <w:p>
            <w:pPr/>
            <w:r>
              <w:rPr/>
              <w:t xml:space="preserve">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 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Ическое обеспечение для проведения исследований и решения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Выбирает методы расчета и проектирования объектов профессиональной деятельности; </w:t>
            </w:r>
          </w:p>
          <w:p/>
          <w:p>
            <w:pPr/>
            <w:r>
              <w:rPr/>
              <w:t xml:space="preserve">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 </w:t>
            </w:r>
          </w:p>
          <w:p/>
          <w:p>
            <w:pPr/>
            <w:r>
              <w:rPr/>
              <w:t xml:space="preserve">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с использованием современных языков программирования и обеспечивать их программную реализацию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Демонстрирует применение методов разработки эффективных алгоритмов для решения научно-исследовательских задач;</w:t>
            </w:r>
          </w:p>
          <w:p/>
          <w:p>
            <w:pPr/>
            <w:r>
              <w:rPr/>
              <w:t xml:space="preserve">ПК-2.2. Применяет современные языки программирования для программной реализации алгоритмов решения исследовательских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68B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2026-04-21T05:51:20+03:00</dcterms:created>
  <dcterms:modified xsi:type="dcterms:W3CDTF">2026-04-21T05:51:20+03:00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