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ЛИЧНЫЕ НЕИМУЩЕСТВЕННЫЕ ПРАВА: РЕГУЛИРОВАНИЕ И СПОСОБЫ ЗАЩИТЫ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</w:t>
            </w:r>
          </w:p>
          <w:p/>
          <w:p>
            <w:pPr/>
            <w:r>
              <w:rPr/>
              <w:t xml:space="preserve">ПК-7.2. Умеет давать квалифицированные заключения и консультации в различных сферах юридической деятельности;</w:t>
            </w:r>
          </w:p>
          <w:p/>
          <w:p>
            <w:pPr/>
            <w:r>
              <w:rPr/>
              <w:t xml:space="preserve">ПК-7.3. Владеет навыками правового консультирования в различных сферах юридической деятельности;</w:t>
            </w:r>
          </w:p>
          <w:p/>
          <w:p>
            <w:pPr/>
            <w:r>
              <w:rPr/>
              <w:t xml:space="preserve">ПК-7.4. Владеет навыками оказания юридической помощи и правового просвещения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Личные неимущественные права: регулирование и способы защиты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на частную (личную) жизнь. Право на презумпцию невиновности. Право на изображение.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Личные неимущественные отношения как предмет гражданско-правового регулирования и охраны.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на честь, достоинство и деловую репутацию (диффамационные споры).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права на частную (личную) жизнь. Содержание права на частную (личную) жизнь. Неприкосновенность частной (личной) жизни. Неприкосновенность жилища. Защита частной жизни через защиту персональных данных. Право на изображение.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личных неимущественных отношений как предмета гражданско-правового регулирования. Правовое регулирование личных неимущественных отношений. Виды личных неимущественных отношений. Личные неимущественные отношения, связанные с имущественными отношениями. Личные неимущественные отношения, не связанные с имущественными отношениями.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Честь, достоинство и деловая репутация как объекты гражданских прав. Субъекты права на честь, достоинство и деловую репутацию. Особенности осуществления и защиты права на деловую репутацию юридического лица. Специфика рассмотрения судами дел по защите чести, достоинства и деловой репутации.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Клевета, ст. 129.1 УК РФ, правовой анализ данной статьи в контексте ст. 10 Европейской Конвенции о защите прав человека и основных свобод и решений Европейского суда по правам человека (ЕСПЧ).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гражданского права в сфере личных неимущественных отношений, не связанных с имущественными. Регулятивная и охранительная функции гражданского права в сфере личных неимущественных отношений, не связанных с имущественными. Имя как объект гражданских прав. Содержание права на имя. Право на изменение и перемену имени. Защита права на имя.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Правовой анализ ст.152 Гражданского кодекса РФ, право на ответ, право на опровержение, определение размера компенсации морального вреда и репутационного вреда.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Постановление Пленума Верховного Суда Российской Федерации от 24 февраля 2005 г. № 3 «О судебной практике по делам о защите чести и достоинства граждан, а также деловой репутации граждан и юридических лиц» http://www.consultant.ru/document/cons_doc_LAW_52017/  Постановление Пленума ВС РФ от 23 июля 2015 года № 25 «О применении судами некоторых положений раздела 1 части первой ГК РФ» http://www.consultant.ru/document/cons_doc_LAW_181602/  Постановление ЕСПЧ «Надтока против России» 31 мая 2016 года, жалоба № 38010/05 https://www.mmdc.ru/praktika_evropejskogo_suda/praktika_po_st10_evropejskoj_konvencii/nadtoka_protiv_rossijskoj_federacii_nadtoka_v_russia/  Постановление ЕСПЧ «Делфи АС» против Эстонии» 10 октября 2013 г, жалоба № 64569/09. https://www.mmdc.ru/praktika_evropejskogo_suda/praktika_po_st10_evropejskoj_konvencii/delo_delfy_as_protiv_estonii/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1) традиционные формы обучения (практическое занятие);</w:t>
      </w:r>
    </w:p>
    <w:p>
      <w:pPr/>
      <w:r>
        <w:rPr/>
        <w:t xml:space="preserve">2) интерактивные формы обучения, заключающиеся в обращении к интернет-ресурсам.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Решение кейс и зачет.</w:t>
      </w:r>
    </w:p>
    <w:p>
      <w:pPr/>
      <w:r>
        <w:rPr/>
        <w:t xml:space="preserve">Все задания по данному курсу построены на основе реальных судебных дел, рассмотренных в Петрозаводском городском суде и в Арбитражном суде Республики Карелия. Т.е. по каждому делу студенты смогут ознакомиться с решением суда, а в случаях обжалования, с позициями судов апелляционной, кассационной инстанций (включая позицию Верховного суда РФ).</w:t>
      </w:r>
    </w:p>
    <w:p>
      <w:pPr/>
      <w:r>
        <w:rPr/>
        <w:t xml:space="preserve">Самостоятельное решение кейс-задач предполагает индивидуальную работу студента: на решение задач дается от 3 до 6 календарных дней, студент письменно излагает мотивированное решение и направляет преподавателю.</w:t>
      </w:r>
    </w:p>
    <w:p>
      <w:pPr/>
      <w:r>
        <w:rPr>
          <w:b w:val="1"/>
          <w:bCs w:val="1"/>
          <w:i w:val="1"/>
          <w:iCs w:val="1"/>
        </w:rPr>
        <w:t xml:space="preserve">Невыполнение задания к установленному времени без уважительных причин (болезнь, соревнования и т.п.) или неудовлетворительное выполнение означает невыполнение программы дисциплины и влечет не допуск к зачету.</w:t>
      </w:r>
    </w:p>
    <w:p>
      <w:pPr/>
      <w:r>
        <w:rPr/>
        <w:t xml:space="preserve"> Пример заданий:</w:t>
      </w:r>
    </w:p>
    <w:p>
      <w:pPr/>
      <w:r>
        <w:rPr/>
        <w:t xml:space="preserve">№ 1.Студентам дается для прочтения статья на сайте «Вести Карелии» «Ложка дегтя в бочке лесного меда: за что директор «Кареллеспрома» получил 26 млн рублей премии?» по ссылке </w:t>
      </w:r>
      <w:hyperlink r:id="rId7" w:history="1">
        <w:r>
          <w:rPr/>
          <w:t xml:space="preserve">https://vestikarelii.ru/kapit/lozhka_degtja_v_bochke_lesnogo_meda/</w:t>
        </w:r>
      </w:hyperlink>
      <w:r>
        <w:rPr/>
        <w:t xml:space="preserve"> и исковое заявление Дегтярева П.В.</w:t>
      </w:r>
    </w:p>
    <w:p>
      <w:pPr/>
      <w:r>
        <w:rPr/>
        <w:t xml:space="preserve">Задание: проанализировать исковое заявление с позиции обоснованности заявленных требований, составить вопросы эксперту-лингвисту, подготовить проект отзыва на иск.</w:t>
      </w:r>
    </w:p>
    <w:p>
      <w:pPr/>
      <w:r>
        <w:rPr/>
        <w:t xml:space="preserve">№ 2.Студентам дается для правового анализа скриншот страницы сайта, где есть возможное нарушение права на изображение. Студенты делятся на две группы: истец-ответчик и каждая группа вырабатывает позицию. Далее происходит обмен мнениями с итоговым комментарием преподавателя и ознакомление с решением суда.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Личные неимущественные отношения как предмет гражданско - правового регулирования и охраны.</w:t>
      </w:r>
    </w:p>
    <w:p>
      <w:pPr>
        <w:numPr>
          <w:ilvl w:val="0"/>
          <w:numId w:val="1"/>
        </w:numPr>
      </w:pPr>
      <w:r>
        <w:rPr/>
        <w:t xml:space="preserve">Виды личных неимущественных отношений: связанных с имущественными и не связанных с имущественными.</w:t>
      </w:r>
    </w:p>
    <w:p>
      <w:pPr>
        <w:numPr>
          <w:ilvl w:val="0"/>
          <w:numId w:val="1"/>
        </w:numPr>
      </w:pPr>
      <w:r>
        <w:rPr/>
        <w:t xml:space="preserve">Функции гражданского права в сфере личных неимущественных отношений, не связанных с имущественными отношениями.</w:t>
      </w:r>
    </w:p>
    <w:p>
      <w:pPr>
        <w:numPr>
          <w:ilvl w:val="0"/>
          <w:numId w:val="1"/>
        </w:numPr>
      </w:pPr>
      <w:r>
        <w:rPr/>
        <w:t xml:space="preserve">Личное неимущественное правоотношение: понятие, признаки.</w:t>
      </w:r>
    </w:p>
    <w:p>
      <w:pPr>
        <w:numPr>
          <w:ilvl w:val="0"/>
          <w:numId w:val="1"/>
        </w:numPr>
      </w:pPr>
      <w:r>
        <w:rPr/>
        <w:t xml:space="preserve">Объекты личных неимущественных правоотношений.</w:t>
      </w:r>
    </w:p>
    <w:p>
      <w:pPr>
        <w:numPr>
          <w:ilvl w:val="0"/>
          <w:numId w:val="1"/>
        </w:numPr>
      </w:pPr>
      <w:r>
        <w:rPr/>
        <w:t xml:space="preserve">Субъекты личных неимущественных правоотношений.</w:t>
      </w:r>
    </w:p>
    <w:p>
      <w:pPr>
        <w:numPr>
          <w:ilvl w:val="0"/>
          <w:numId w:val="1"/>
        </w:numPr>
      </w:pPr>
      <w:r>
        <w:rPr/>
        <w:t xml:space="preserve">Содержание личных неимущественных правоотношений.</w:t>
      </w:r>
    </w:p>
    <w:p>
      <w:pPr>
        <w:numPr>
          <w:ilvl w:val="0"/>
          <w:numId w:val="1"/>
        </w:numPr>
      </w:pPr>
      <w:r>
        <w:rPr/>
        <w:t xml:space="preserve">Способы защиты личных неимущественных прав.</w:t>
      </w:r>
    </w:p>
    <w:p>
      <w:pPr>
        <w:numPr>
          <w:ilvl w:val="0"/>
          <w:numId w:val="1"/>
        </w:numPr>
      </w:pPr>
      <w:r>
        <w:rPr/>
        <w:t xml:space="preserve">Система личных неимущественных прав.</w:t>
      </w:r>
    </w:p>
    <w:p>
      <w:pPr>
        <w:numPr>
          <w:ilvl w:val="0"/>
          <w:numId w:val="1"/>
        </w:numPr>
      </w:pPr>
      <w:r>
        <w:rPr/>
        <w:t xml:space="preserve">Право на имя: понятие, источники правового регулирования.</w:t>
      </w:r>
    </w:p>
    <w:p>
      <w:pPr>
        <w:numPr>
          <w:ilvl w:val="0"/>
          <w:numId w:val="1"/>
        </w:numPr>
      </w:pPr>
      <w:r>
        <w:rPr/>
        <w:t xml:space="preserve">Право на защиту чести, достоинства и деловой репутации.</w:t>
      </w:r>
    </w:p>
    <w:p>
      <w:pPr>
        <w:numPr>
          <w:ilvl w:val="0"/>
          <w:numId w:val="1"/>
        </w:numPr>
      </w:pPr>
      <w:r>
        <w:rPr/>
        <w:t xml:space="preserve">Право на частную (личную) жизнь: понятие, содержание.</w:t>
      </w:r>
    </w:p>
    <w:p>
      <w:pPr>
        <w:numPr>
          <w:ilvl w:val="0"/>
          <w:numId w:val="1"/>
        </w:numPr>
      </w:pPr>
      <w:r>
        <w:rPr/>
        <w:t xml:space="preserve">Право на неприкосновенность жилища.</w:t>
      </w:r>
    </w:p>
    <w:p>
      <w:pPr>
        <w:numPr>
          <w:ilvl w:val="0"/>
          <w:numId w:val="1"/>
        </w:numPr>
      </w:pPr>
      <w:r>
        <w:rPr/>
        <w:t xml:space="preserve">Право на изображение.</w:t>
      </w:r>
    </w:p>
    <w:p>
      <w:pPr>
        <w:numPr>
          <w:ilvl w:val="0"/>
          <w:numId w:val="1"/>
        </w:numPr>
      </w:pPr>
      <w:r>
        <w:rPr/>
        <w:t xml:space="preserve">Право на презумпцию невиновности.</w:t>
      </w:r>
    </w:p>
    <w:p>
      <w:pPr>
        <w:numPr>
          <w:ilvl w:val="0"/>
          <w:numId w:val="1"/>
        </w:numPr>
      </w:pPr>
      <w:r>
        <w:rPr/>
        <w:t xml:space="preserve">Право на свободу передвижения.</w:t>
      </w:r>
    </w:p>
    <w:p>
      <w:pPr>
        <w:numPr>
          <w:ilvl w:val="0"/>
          <w:numId w:val="1"/>
        </w:numPr>
      </w:pPr>
      <w:r>
        <w:rPr/>
        <w:t xml:space="preserve">Право на имя.</w:t>
      </w:r>
    </w:p>
    <w:p>
      <w:pPr>
        <w:numPr>
          <w:ilvl w:val="0"/>
          <w:numId w:val="1"/>
        </w:numPr>
      </w:pPr>
      <w:r>
        <w:rPr/>
        <w:t xml:space="preserve">Защита личных неимущественных прав автора.</w:t>
      </w:r>
    </w:p>
    <w:p>
      <w:pPr>
        <w:numPr>
          <w:ilvl w:val="0"/>
          <w:numId w:val="1"/>
        </w:numPr>
      </w:pPr>
      <w:r>
        <w:rPr/>
        <w:t xml:space="preserve">Роль ЕСПЧ в формировании судебной практики по защите чести, достоинства и доброго имени (ст. 10 Европейской конвенции по защите прав человека и основных свобод).</w:t>
      </w:r>
    </w:p>
    <w:p>
      <w:pPr>
        <w:numPr>
          <w:ilvl w:val="0"/>
          <w:numId w:val="1"/>
        </w:numPr>
      </w:pPr>
      <w:r>
        <w:rPr/>
        <w:t xml:space="preserve">Роль ЕСПЧ в формировании судебной практики по защите частной жизни (ст.8 Европейской конвенции по защите прав человека и основных свобод).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Основной формой самостоятельной работы студента является изучение конспекта лекций, их дополнение и судебных актов. Но для успешной учебной деятельности, ее интенсификации, необходимо учитывать следующие субъективные факторы:</w:t>
      </w:r>
    </w:p>
    <w:p>
      <w:pPr/>
      <w:r>
        <w:rPr/>
        <w:t xml:space="preserve">Наличие прочной системы зияний, необходимой для усвоения основных вузовских курсов. Это особенно важно для математических дисциплин. Необходимо отличать пробелы в знаниях, затрудняющие усвоение нового материала, от малых способностей. Затратив силы на преодоление этих пробелов, студент обеспечит себе нормальную успеваемость и поверит в свои способности.</w:t>
      </w:r>
    </w:p>
    <w:p>
      <w:pPr/>
      <w:r>
        <w:rPr/>
        <w:t xml:space="preserve"> Наличие умений, навыков умственного труда:</w:t>
      </w:r>
    </w:p>
    <w:p>
      <w:pPr/>
      <w:r>
        <w:rPr/>
        <w:t xml:space="preserve">а) умение конспектировать на лекции и при работе с книгой;</w:t>
      </w:r>
    </w:p>
    <w:p>
      <w:pPr/>
      <w:r>
        <w:rPr/>
        <w:t xml:space="preserve">б) владение логическими операциями: сравнение, анализ, синтез, обобщение, определение понятий, правила систематизации и классификации.</w:t>
      </w:r>
    </w:p>
    <w:p>
      <w:pPr/>
      <w:r>
        <w:rPr/>
        <w:t xml:space="preserve">Специфика познавательных психических процессов: внимание, память, речь, наблюдательность, интеллект и мышление.</w:t>
      </w:r>
    </w:p>
    <w:p>
      <w:pPr/>
      <w:r>
        <w:rPr/>
        <w:t xml:space="preserve">Хорошая работоспособность, которая обеспечивается нормальным физическим состоянием.</w:t>
      </w:r>
    </w:p>
    <w:p>
      <w:pPr/>
      <w:r>
        <w:rPr/>
        <w:t xml:space="preserve">Соответствие избранной деятельности, профессии индивидуальным способностям. Необходимо выработать у себя умение саморегулировать свое эмоциональное состояние и устранять обстоятельства, нарушающие деловой настрой, мешающие намеченной работе.</w:t>
      </w:r>
    </w:p>
    <w:p>
      <w:pPr/>
      <w:r>
        <w:rPr/>
        <w:t xml:space="preserve">Овладение оптимальным стилем работы, обеспечивающим успех в деятельности. Чередование труда и пауз в работе, периоды отдыха, индивидуально обоснованная норма продолжительности сна, предпочтение вечерних или утренних занятий, стрессоустойчивость на экзаменах и особенности подготовки к ним,</w:t>
      </w:r>
    </w:p>
    <w:p>
      <w:pPr/>
      <w:r>
        <w:rPr/>
        <w:t xml:space="preserve">Уровень требований к себе, определяемый сложившейся самооценкой.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случае замены основного преподавателя, читающего курс «Личные неимущественные права: регулирование и способы защиты», следует придерживаться следующих рекомендаций:</w:t>
      </w:r>
    </w:p>
    <w:p>
      <w:pPr>
        <w:numPr>
          <w:ilvl w:val="0"/>
          <w:numId w:val="2"/>
        </w:numPr>
      </w:pPr>
      <w:r>
        <w:rPr/>
        <w:t xml:space="preserve">Давать лекционный материал с учетом пояснений, данных к каждому тематическому разделу.</w:t>
      </w:r>
    </w:p>
    <w:p>
      <w:pPr>
        <w:numPr>
          <w:ilvl w:val="0"/>
          <w:numId w:val="2"/>
        </w:numPr>
      </w:pPr>
      <w:r>
        <w:rPr/>
        <w:t xml:space="preserve">Рекомендовать студентам иметь на занятиях кодекс, соответствующий тематике лекции (например, если лекция по защите неимущественных прав авторов, то 4 часть Гражданского кодекса РФ).</w:t>
      </w:r>
    </w:p>
    <w:p>
      <w:pPr>
        <w:numPr>
          <w:ilvl w:val="0"/>
          <w:numId w:val="2"/>
        </w:numPr>
      </w:pPr>
      <w:r>
        <w:rPr/>
        <w:t xml:space="preserve">Ориентировать студентов на использование списка литературы, данного в программе.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Гражданское право : в 4 т. : учеб. для студентов вузов, обучающихся по направлению 521400 "Юриспруденция" и по специальности 021100 "Юриспруденция" / Моск. гос. ун-т им. М. В. Ломоносова ; отв. ред. Е. А. Суханов, Т. 2.</w:t>
      </w:r>
    </w:p>
    <w:p>
      <w:pPr>
        <w:numPr>
          <w:ilvl w:val="0"/>
          <w:numId w:val="3"/>
        </w:numPr>
      </w:pPr>
      <w:r>
        <w:rPr/>
        <w:t xml:space="preserve">Рихтер, А. Г. Правовые основы журналистики : Учебник для студентов вузов, обуч. по спец. "Журналистика" / А.Г. Рихтер ; МГУ им. М.В. Ломоносова. Фак. журналистики. - Москва : Издательство Московского университета, 2010. – 347с.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Дегтярева, Л. Н. Право на честь и достоинство личности: теоретические аспекты / Л. Н. Дегтярева [Текст] // Российская юстиция. - 2017. - № 7. - С. 9-11.</w:t>
      </w:r>
    </w:p>
    <w:p>
      <w:pPr>
        <w:numPr>
          <w:ilvl w:val="0"/>
          <w:numId w:val="4"/>
        </w:numPr>
      </w:pPr>
      <w:r>
        <w:rPr/>
        <w:t xml:space="preserve">Зорькин В. (председатель КС РФ) Предел уступчивости // Российская газета от 29.10.2010 г. </w:t>
      </w:r>
      <w:hyperlink r:id="rId8" w:history="1">
        <w:r>
          <w:rPr/>
          <w:t xml:space="preserve">https://rg.ru/2010/10/29/zorkin.html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Юрлов, И. (преподаватель). Изображение физического лица: нематериальное благо или произведение? [Текст] / И. Юрлов, М. Быкова // Интеллектуальная собственность. Авторское право и смежные права. - 2017. - № 8. - С. 51-58.</w:t>
      </w:r>
    </w:p>
    <w:p>
      <w:pPr>
        <w:numPr>
          <w:ilvl w:val="0"/>
          <w:numId w:val="4"/>
        </w:numPr>
      </w:pPr>
      <w:r>
        <w:rPr/>
        <w:t xml:space="preserve">Интернет-СМИ : теория и практика : учебное пособие для студентов вузов, обучающихся по направлению 030600 и специальности 030601 "Журналистика" / [Алексеева А. О. [и др.] ; под ред. М. М. Лукиной. - Москва: Аспект Пресс, 2013. - 348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CC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2F4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3A6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209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F5FA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estikarelii.ru/kapit/lozhka_degtja_v_bochke_lesnogo_meda/" TargetMode="External"/><Relationship Id="rId8" Type="http://schemas.openxmlformats.org/officeDocument/2006/relationships/hyperlink" Target="https://rg.ru/2010/10/29/zork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2026-04-25T13:53:07+03:00</dcterms:created>
  <dcterms:modified xsi:type="dcterms:W3CDTF">2026-04-25T13:53:07+03:00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