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И МЕТОДОЛОГИЧЕСКИЕ ПРОБЛЕМЫ ОРГАНИЗАЦИИ И УПРАВЛЕНИЯ СОЦИАЛЬНЫМИ ПРОЦЕССАМИ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</w:t>
            </w:r>
          </w:p>
          <w:p/>
          <w:p>
            <w:pPr/>
            <w:r>
              <w:rPr/>
              <w:t xml:space="preserve">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</w:t>
            </w:r>
          </w:p>
          <w:p/>
          <w:p>
            <w:pPr/>
            <w:r>
              <w:rPr/>
              <w:t xml:space="preserve">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</w:t>
            </w:r>
          </w:p>
          <w:p/>
          <w:p>
            <w:pPr/>
            <w:r>
              <w:rPr/>
              <w:t xml:space="preserve">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и методологические проблемы организации и управления социальными процессами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79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