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Физиология физического воспитания и спорта, Биомеханика,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физической реабилитации. Физическая реабилитация при заболеваниях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лечебно-восстановительного применения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физической реабилитации при дефектах осанки и плоскостопии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нарушениях обмена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системе адаптивной физической культуры. Общие основы ЛФК. Показания и противопоказания к занятиям ЛФК. Массаж, виды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 Переломы. Виды переломов. Физическая реабилитация при переломах различного вида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Физиотерапия.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физической реабилитации при болезнях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операций на грудной и брюшной полостях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пищеварения. Этиология, патогенез. Характеристика средств физической реабилитации при гастритах, язве желудка и 12-ти перстной кишки. 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</w:t>
      </w:r>
    </w:p>
    <w:p>
      <w:pPr>
        <w:numPr>
          <w:ilvl w:val="0"/>
          <w:numId w:val="1"/>
        </w:numPr>
      </w:pPr>
      <w:r>
        <w:rPr/>
        <w:t xml:space="preserve">Особенности физической реабилитации при заболеваниях органов дыхания.</w:t>
      </w:r>
    </w:p>
    <w:p>
      <w:pPr>
        <w:numPr>
          <w:ilvl w:val="0"/>
          <w:numId w:val="1"/>
        </w:numPr>
      </w:pP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</w:t>
      </w:r>
    </w:p>
    <w:p>
      <w:pPr>
        <w:numPr>
          <w:ilvl w:val="0"/>
          <w:numId w:val="1"/>
        </w:numPr>
      </w:pPr>
      <w:r>
        <w:rPr/>
        <w:t xml:space="preserve">Характеристика средств физической реабилитации при гастритах, язве желудка и 12-ти перстной кишки.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</w:t>
      </w:r>
    </w:p>
    <w:p>
      <w:pPr>
        <w:numPr>
          <w:ilvl w:val="0"/>
          <w:numId w:val="1"/>
        </w:numPr>
      </w:pPr>
      <w:r>
        <w:rPr/>
        <w:t xml:space="preserve">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</w:t>
      </w:r>
    </w:p>
    <w:p>
      <w:pPr>
        <w:numPr>
          <w:ilvl w:val="0"/>
          <w:numId w:val="1"/>
        </w:numPr>
      </w:pPr>
      <w:r>
        <w:rPr/>
        <w:t xml:space="preserve">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подагре, ожирении и сахарном диабете.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 вопросами реабилитации.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4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3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698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342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D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25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2026-04-23T17:18:15+03:00</dcterms:created>
  <dcterms:modified xsi:type="dcterms:W3CDTF">2026-04-23T17:18:15+03:00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