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1.1.  Анализирует задачу, выделяя ее базовые составляющие.  Осуществляет декомпозицию задачи.</w:t>
            </w:r>
          </w:p>
          <w:p/>
          <w:p>
            <w:pPr/>
            <w:r>
              <w:rPr/>
              <w:t xml:space="preserve">1.2. Находит и критически анализирует информацию, необходимую для решения поставленной задачи.  </w:t>
            </w:r>
          </w:p>
          <w:p/>
          <w:p>
            <w:pPr/>
            <w:r>
              <w:rPr/>
              <w:t xml:space="preserve">1.3. Рассматривает различные варианты решения задачи, оценивая их достоинства и недостатки.</w:t>
            </w:r>
          </w:p>
          <w:p/>
          <w:p>
            <w:pPr/>
            <w:r>
              <w:rPr/>
              <w:t xml:space="preserve">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Адаптивный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проектами</w:t>
            </w:r>
          </w:p>
        </w:tc>
        <w:tc>
          <w:tcPr>
            <w:noWrap/>
          </w:tcPr>
          <w:p>
            <w:pPr>
              <w:jc w:val="left"/>
              <w:ind w:left="0" w:right="0" w:firstLine="0" w:hanging="0"/>
            </w:pPr>
            <w:r>
              <w:rPr/>
              <w:t xml:space="preserve">59</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33</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1"/>
        </w:numPr>
      </w:pPr>
      <w:r>
        <w:rPr/>
        <w:t xml:space="preserve">Разработка и контроль календарного плана проекта.</w:t>
      </w:r>
    </w:p>
    <w:p>
      <w:pPr>
        <w:numPr>
          <w:ilvl w:val="0"/>
          <w:numId w:val="1"/>
        </w:numPr>
      </w:pPr>
      <w:r>
        <w:rPr/>
        <w:t xml:space="preserve">Моделирование проекта в Microsoft Project Professional.</w:t>
      </w:r>
    </w:p>
    <w:p>
      <w:pPr>
        <w:numPr>
          <w:ilvl w:val="0"/>
          <w:numId w:val="1"/>
        </w:numPr>
      </w:pPr>
      <w:r>
        <w:rPr/>
        <w:t xml:space="preserve">Оптимизация календарного плана проекта.</w:t>
      </w:r>
    </w:p>
    <w:p>
      <w:pPr>
        <w:numPr>
          <w:ilvl w:val="0"/>
          <w:numId w:val="1"/>
        </w:numPr>
      </w:pPr>
      <w:r>
        <w:rPr/>
        <w:t xml:space="preserve">Аналитические возможности Microsoft Project Professional</w:t>
      </w:r>
    </w:p>
    <w:p>
      <w:pPr>
        <w:numPr>
          <w:ilvl w:val="0"/>
          <w:numId w:val="1"/>
        </w:numPr>
      </w:pPr>
      <w:r>
        <w:rPr/>
        <w:t xml:space="preserve">Актуализация, контроль и завершение проекта</w:t>
      </w:r>
    </w:p>
    <w:p>
      <w:pPr>
        <w:numPr>
          <w:ilvl w:val="0"/>
          <w:numId w:val="1"/>
        </w:numPr>
      </w:pPr>
      <w:r>
        <w:rPr/>
        <w:t xml:space="preserve">Многопроектное планирование</w:t>
      </w:r>
    </w:p>
    <w:p>
      <w:pPr>
        <w:numPr>
          <w:ilvl w:val="0"/>
          <w:numId w:val="1"/>
        </w:numPr>
      </w:pPr>
      <w:r>
        <w:rPr/>
        <w:t xml:space="preserve">Управление рисками проекта</w:t>
      </w:r>
    </w:p>
    <w:p>
      <w:pPr>
        <w:numPr>
          <w:ilvl w:val="0"/>
          <w:numId w:val="1"/>
        </w:numPr>
      </w:pPr>
      <w:r>
        <w:rPr/>
        <w:t xml:space="preserve">Коллективная работа над проектом.</w:t>
      </w:r>
    </w:p>
    <w:p>
      <w:pPr>
        <w:numPr>
          <w:ilvl w:val="0"/>
          <w:numId w:val="1"/>
        </w:numPr>
      </w:pPr>
      <w:r>
        <w:rPr/>
        <w:t xml:space="preserve">Управление портфелем проектов и пулом ресурсов.</w:t>
      </w:r>
    </w:p>
    <w:p/>
    <w:p>
      <w:pPr/>
      <w:r>
        <w:rPr/>
        <w:t xml:space="preserve">5.2. Промежуточная аттестация проводится в виде:</w:t>
      </w:r>
    </w:p>
    <w:p/>
    <w:p>
      <w:pPr/>
      <w:r>
        <w:rPr/>
        <w:t xml:space="preserve">Зачет</w:t>
      </w:r>
    </w:p>
    <w:p>
      <w:pPr/>
      <w:r>
        <w:rPr/>
        <w:t xml:space="preserve">Зачет проводятся в формате представления стартапов, тематика формируется индивидуально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2"/>
        </w:numPr>
      </w:pPr>
      <w:r>
        <w:rPr/>
        <w:t xml:space="preserve">Придерживаться рекомендаций преподавателя по объему времени, необходимого для проработки каждой темы;</w:t>
      </w:r>
    </w:p>
    <w:p>
      <w:pPr>
        <w:numPr>
          <w:ilvl w:val="0"/>
          <w:numId w:val="2"/>
        </w:numPr>
      </w:pPr>
      <w:r>
        <w:rPr/>
        <w:t xml:space="preserve">Регулярно изучать каждую тему дисциплины, используя различные формы индивидуальной работы;</w:t>
      </w:r>
    </w:p>
    <w:p>
      <w:pPr>
        <w:numPr>
          <w:ilvl w:val="0"/>
          <w:numId w:val="2"/>
        </w:numPr>
      </w:pPr>
      <w:r>
        <w:rPr/>
        <w:t xml:space="preserve">Согласовывать с преподавателем виды работы по изучению дисциплины;</w:t>
      </w:r>
    </w:p>
    <w:p>
      <w:pPr>
        <w:numPr>
          <w:ilvl w:val="0"/>
          <w:numId w:val="2"/>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
        </w:numPr>
      </w:pPr>
      <w:r>
        <w:rPr/>
        <w:t xml:space="preserve">Активность студентов на семинарских и практических занятиях;</w:t>
      </w:r>
    </w:p>
    <w:p>
      <w:pPr>
        <w:numPr>
          <w:ilvl w:val="0"/>
          <w:numId w:val="3"/>
        </w:numPr>
      </w:pPr>
      <w:r>
        <w:rPr/>
        <w:t xml:space="preserve">Посещаемость студентами лекционных, практических занятий;</w:t>
      </w:r>
    </w:p>
    <w:p>
      <w:pPr>
        <w:numPr>
          <w:ilvl w:val="0"/>
          <w:numId w:val="3"/>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
        </w:numPr>
      </w:pPr>
      <w:r>
        <w:rPr/>
        <w:t xml:space="preserve">компетентность автора сообщения по указанной проблеме,</w:t>
      </w:r>
    </w:p>
    <w:p>
      <w:pPr>
        <w:numPr>
          <w:ilvl w:val="0"/>
          <w:numId w:val="4"/>
        </w:numPr>
      </w:pPr>
      <w:r>
        <w:rPr/>
        <w:t xml:space="preserve">систематизация материала по указанной схеме,</w:t>
      </w:r>
    </w:p>
    <w:p>
      <w:pPr>
        <w:numPr>
          <w:ilvl w:val="0"/>
          <w:numId w:val="4"/>
        </w:numPr>
      </w:pPr>
      <w:r>
        <w:rPr/>
        <w:t xml:space="preserve">умение работы с массивом информации и статистическими данными,</w:t>
      </w:r>
    </w:p>
    <w:p>
      <w:pPr>
        <w:numPr>
          <w:ilvl w:val="0"/>
          <w:numId w:val="4"/>
        </w:numPr>
      </w:pPr>
      <w:r>
        <w:rPr/>
        <w:t xml:space="preserve">самостоятельность при подготовке материала,</w:t>
      </w:r>
    </w:p>
    <w:p>
      <w:pPr>
        <w:numPr>
          <w:ilvl w:val="0"/>
          <w:numId w:val="4"/>
        </w:numPr>
      </w:pPr>
      <w:r>
        <w:rPr/>
        <w:t xml:space="preserve">позиция автора по отношению к указанным аспектам,</w:t>
      </w:r>
    </w:p>
    <w:p>
      <w:pPr>
        <w:numPr>
          <w:ilvl w:val="0"/>
          <w:numId w:val="4"/>
        </w:numPr>
      </w:pPr>
      <w:r>
        <w:rPr/>
        <w:t xml:space="preserve">способность автора к выявлению зависимостей и закономерностей,</w:t>
      </w:r>
    </w:p>
    <w:p>
      <w:pPr>
        <w:numPr>
          <w:ilvl w:val="0"/>
          <w:numId w:val="4"/>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Управление проектами для профессионалов: Руководство по подготовке к сдаче сертификационного экзамена: Пер. с англ. / М. В. Ньюэлл ; пер. : А. К. Казаков. - 3-е изд. - М. : КУДИЦ-ОБРАЗ, 2006. - 416 с. :</w:t>
      </w:r>
    </w:p>
    <w:p>
      <w:pPr>
        <w:numPr>
          <w:ilvl w:val="0"/>
          <w:numId w:val="5"/>
        </w:numPr>
      </w:pPr>
      <w:r>
        <w:rPr>
          <w:i w:val="1"/>
          <w:iCs w:val="1"/>
        </w:rPr>
        <w:t xml:space="preserve">Управление проектами: Учебное пособие для вузов / М. В. Романова. - М.: ФОРУМ, 2007; М. : Инфра-М, 2007. - 253[2] с. :</w:t>
      </w:r>
    </w:p>
    <w:p>
      <w:pPr>
        <w:numPr>
          <w:ilvl w:val="0"/>
          <w:numId w:val="6"/>
        </w:numPr>
      </w:pPr>
      <w:r>
        <w:rPr/>
        <w:t xml:space="preserve">A Guide to the Project Management Body of Knowledge (</w:t>
      </w:r>
      <w:r>
        <w:rPr>
          <w:i w:val="1"/>
          <w:iCs w:val="1"/>
        </w:rPr>
        <w:t xml:space="preserve">PMBOK® Guide</w:t>
      </w:r>
      <w:r>
        <w:rPr/>
        <w:t xml:space="preserve">) — Fourth Edition</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i w:val="1"/>
          <w:iCs w:val="1"/>
        </w:rPr>
        <w:t xml:space="preserve">Математические основы управления проектами: учебное пособие для вузов / С. А. Баркалов [и др.]; ред. В. Н. Бурков. - М.: Высшая школа, 2005. - 421[3]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Microsoft Project Professional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5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164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AB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3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ED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56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E6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E2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2026-04-21T09:20:30+03:00</dcterms:created>
  <dcterms:modified xsi:type="dcterms:W3CDTF">2026-04-21T09:20:30+03:00</dcterms:modified>
</cp:coreProperties>
</file>

<file path=docProps/custom.xml><?xml version="1.0" encoding="utf-8"?>
<Properties xmlns="http://schemas.openxmlformats.org/officeDocument/2006/custom-properties" xmlns:vt="http://schemas.openxmlformats.org/officeDocument/2006/docPropsVTypes"/>
</file>