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Поташева Ольга Вячеславовна,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 - использовать источники
экономической, социальной,
управленческой информации;
 - осуществлять выбор инструментальных средств для обработки экономических данных в соответствии с
поставленной задачей.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и механизм его функционирования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менеджмента в образовании.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что должна делать и на что способна система образования;   чем определяются ее потребности в ресурсах;  как учебные заведения взаимодействуют между собой и с государством, с другими субъектами;  как система образования получает и расходует ресурсы, на что …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объект исследования:   Уровни образования.    Специфика экономики образования.    Образовательная услуга как результат процесса образования.    Особенности функционирования рынка образовательных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Хозяйственный механизм в сфере образования. Производственная функция.  Производственный процесс в сфере образования. Уровень качества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Финансирование в сфере образования. Экономические условия функционирования образования. Статистика государственных расходов. Региональные аспекты бюджетного финансирования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показатели качества образования. Основные критерии уровней качества образования.Государственный контроль в сфере образования. Три вида контроля: ведомственный (отраслевой); внутренний контроль; надведомственный. Департамент контроля качества образования. Методы го-сударственного контроля за обеспечением качества образования: самоконтроль; инспектирование; аттестация учреждений образования. Процедуры государственного регулирования процесса реформирования образовательной системы: лицензирование, аттестация, государственная аккредитация образовательных заведений.  Международные критерии оценки качества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критерии управления. Миссия и философия образовательного учреждения. Принципы управления: бюрократия, гибкость, децен-трализация, дисциплинированность, единоначалие, коллеги-альность, кооперация, корпоративность, оперативность, рота-ция, специализация, справедливое вознаграждение, эффективность. Методы управления. Виды методов по способам воз-действия на людей. Административные, экономические, со-циологические и психологические методы. Организация системы управления. Методика оформле-ния и регистрации образовательного учреждения.  Регламентация управления. Виды регламентов для об-разовательного учреждения: Правила внутреннего трудового распорядка, Положение о подразделениях, должностные ин-струкции, трудовые договоры. Управление реализацией стратегии. Три уровня стра-тегических изменений в образовательном учреждении: коренная реорганизация, радикальные изменения, умеренные изменения, стратегические изменения. Три вида стратегий: наступления, обороны, фокусирования и ликвидации.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концепции маркетинга. Система марке-тинга. Конкурирующие концепции маркетинга: производст-венная, продуктовая, сбытовая, потребительская и соци-альная. Маркетинг образования. Понятие и характеристика об-разовательных услуг. Отличительные особенности образова-тельных услуг. Оценка конкурентного положения и сегментация образовательных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образования как наука, Теория «человеческого капитала», Типы и виды образования в современной России (Интеллект-карта)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современной системы образования: , формирование рынка образовательных услуг, производственный процесс в сфере 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Мониторинг и оценка качества образования. Концепция общероссийской системы оценки качества общего образования. Внутренняя и независимая оценка качества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Ресурсность образовательной организации. Источники финансирования: цель управления, показатели эффективности.,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материально-технической базы и состав фондов образования. Независимая оценка качества условий образовательной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классификация персонала по категориям. Система работы с персоналом включает следующие элементы: 1) кадровая политика (стиль руководства, философия организации, правила внутреннего трудового распорядка, коллективный договор);  2) подбор персонала (расчет потребности в кадрах, профессиональный подбор кадров, собеседование, формирование резерва кадров);  3) оценка персонала (методы оценки персонала, оценка потенциала работника, оценка индивидуального вклада, аттестация); 4) расстановка персонала (типовые модели карьеры, планирование служебной карьеры, условия и оплата труда, движение кадров); 5) адаптация персонала (испытательный срок, адаптация молодых кадров, наставничество, консультации, развитие человеческих ресурсов);  6) обучение кадров (профессиональная подготовка и пере-подготовка, повышение квалификации, послевузовское дополнительное образование).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Брендинг в образовании. Сущность маркетинговых коммуникаций: реклама, стимули-рование продаж, связи с общественностью, прямой маркетинг, разработка фирменного стиля, ярмарочная и выставочная деятельность, сотрудничество.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Портрет получателя услуги. Маркетинговое исследование получателя услуги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и виды образования в современной России, разработка интеллект-карты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Выступление/доклад: «Системы образования разных стран: опыт создания, современное состояние и тенденции развития» Страны: Финляндия. Чехия, Сингапур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образования: расходы консолидированного бюджета субъекта РФ на образование, Расходы консолидированного бюджета субъекта РФ на «Профессиональная подготовка, переподготовка и повышение квалификации», Объем образовательных услуг населению в регионе, Объем образовательных услуг на душу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анализ сайта образовательного учреждения по основным критериям НОКО: 1. Открытость и доступность информации об образовательной организации 2. Комфортность условий и доступность получения образовательной услуги 3. Компетентность, доброжелательность и вежливость работников образовательной организации 4. Результативность работы образовательной организации 5. Удовлетворенность качеством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Выступление/доклад: Образовательные организации как некоммерческие организации – особенности финансового управления. Национальный проект «Образование»: финансовые возможности развития. Государственно-частное партнерство в сфере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как инструмент внешней оценки качества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платной образовательной услуги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и защита проекта платной оьбразовательной услуги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деловые и ролевые игры, разбор конкретных ситуаций, тренинги, эвристическое обучение, мозговой штурм, проблемное обучение, метод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«Отлично», если студент полностью справился с 85-100% задания;</w:t>
      </w:r>
      <w:br/>
      <w:r>
        <w:rPr/>
        <w:t xml:space="preserve">«Хорошо», если студент справился с 71 -84 % задания;</w:t>
      </w:r>
      <w:br/>
      <w:r>
        <w:rPr/>
        <w:t xml:space="preserve">«Удовлетворительно», если студент справился с 50-69% задания</w:t>
      </w:r>
      <w:br/>
      <w:r>
        <w:rPr/>
        <w:t xml:space="preserve">«Неудовлетворительно», если студент справился менее чем с 50% задания.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Критерии оценивания:</w:t>
      </w:r>
    </w:p>
    <w:p>
      <w:pPr/>
      <w:br/>
      <w:r>
        <w:rPr/>
        <w:t xml:space="preserve">«Отлично», если студент полностью раскрыл тему, аргументированно и структурированно</w:t>
      </w:r>
      <w:br/>
      <w:r>
        <w:rPr/>
        <w:t xml:space="preserve">представил работу, справился с 85-100% задания;</w:t>
      </w:r>
      <w:br/>
      <w:r>
        <w:rPr/>
        <w:t xml:space="preserve">«Хорошо», если студент не полностью раскрыл тему, не достаточно аргументированно и</w:t>
      </w:r>
      <w:br/>
      <w:r>
        <w:rPr/>
        <w:t xml:space="preserve">структурированно представил работу, справился с 71 -84 % задания;</w:t>
      </w:r>
      <w:br/>
      <w:r>
        <w:rPr/>
        <w:t xml:space="preserve">«Удовлетворительно», если студент частично раскрыл тему, не аргументированно и не достаточно</w:t>
      </w:r>
      <w:br/>
      <w:r>
        <w:rPr/>
        <w:t xml:space="preserve">структурированно представил работу, справился с 50-69% задания</w:t>
      </w:r>
      <w:br/>
      <w:r>
        <w:rPr/>
        <w:t xml:space="preserve">«Незачтено», если студент справился менее чем с 70% задания.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учебной работой студента является самостоятельная работа в течение семестра.</w:t>
      </w:r>
      <w:br/>
      <w:r>
        <w:rPr/>
        <w:t xml:space="preserve">Изучение дисциплины необходимо начинать с ознакомления с целями и задачами дисциплины, знаниями</w:t>
      </w:r>
      <w:br/>
      <w:r>
        <w:rPr/>
        <w:t xml:space="preserve">и умениями, приобретаемыми в процессе изучения.</w:t>
      </w:r>
      <w:br/>
      <w:r>
        <w:rPr/>
        <w:t xml:space="preserve">Студент обязан прийти на лекцию подготовленным к восприятию материала, усердно работать на</w:t>
      </w:r>
      <w:br/>
      <w:r>
        <w:rPr/>
        <w:t xml:space="preserve">лекции, уметь составлять конспект, выделяя главное, владеть опорными понятиями дисциплины. Студент</w:t>
      </w:r>
      <w:br/>
      <w:r>
        <w:rPr/>
        <w:t xml:space="preserve">обязан проявлять творческий интерес к изучаемому предмету, систематически работать над теорией и</w:t>
      </w:r>
      <w:br/>
      <w:r>
        <w:rPr/>
        <w:t xml:space="preserve">практикой, самостоятельно осуществлять поиск дополнительной литературы с помощью поисковых систем</w:t>
      </w:r>
      <w:br/>
      <w:r>
        <w:rPr/>
        <w:t xml:space="preserve">сети Интернет.</w:t>
      </w:r>
      <w:br/>
      <w:r>
        <w:rPr/>
        <w:t xml:space="preserve">При подготовке к практическим занятиям студент в обязательном порядке изучает теоретический</w:t>
      </w:r>
      <w:br/>
      <w:r>
        <w:rPr/>
        <w:t xml:space="preserve">материал в соответствии с методическими указаниями к практическим работам, детально прорабатывает</w:t>
      </w:r>
      <w:br/>
      <w:r>
        <w:rPr/>
        <w:t xml:space="preserve">образец решения задачи (алгоритм выполнения работы). Все неясные вопросы по дисциплине студент</w:t>
      </w:r>
      <w:br/>
      <w:r>
        <w:rPr/>
        <w:t xml:space="preserve">может разрешить на консультациях, проводимых по расписанию.</w:t>
      </w:r>
    </w:p>
    <w:p>
      <w:pPr/>
      <w:r>
        <w:rPr/>
        <w:t xml:space="preserve">Рекомендации по подготовки Презентации;</w:t>
      </w:r>
    </w:p>
    <w:p>
      <w:pPr/>
      <w:r>
        <w:rPr/>
        <w:t xml:space="preserve">Презентация — это не слайды, сделанные в программе MS Power Point, а непосредственное выступление перед аудиторией.</w:t>
      </w:r>
    </w:p>
    <w:p>
      <w:pPr/>
      <w:r>
        <w:rPr/>
        <w:t xml:space="preserve">Принцип 10/20/30, разработанный Гаем Кавасаки, специалистом компании Apple, очень прямолинеен. 10 слайдов, 20 минут на презентацию, размер шрифта не меньше 30. Проще и эффективнее некуда.</w:t>
      </w:r>
    </w:p>
    <w:p>
      <w:pPr/>
      <w:r>
        <w:rPr/>
        <w:t xml:space="preserve">Текст презентации не должен повторять текст, указанный на слайде. Относитесь к аудитории с должным уважением: читать они точно умеют.</w:t>
      </w:r>
    </w:p>
    <w:p>
      <w:pPr/>
      <w:r>
        <w:rPr/>
        <w:t xml:space="preserve">Придерживайтесь одной основной идеи в презентации (в случае крайней необходимости их может быть две). Это правило основано скорее на формальной логике: если закидывать людей множеством идей, они не поймут, чего вы от них хотите.</w:t>
      </w:r>
    </w:p>
    <w:p>
      <w:pPr/>
      <w:r>
        <w:rPr/>
        <w:t xml:space="preserve">Слайды должны отображать информацию, а не данные.</w:t>
      </w:r>
    </w:p>
    <w:p>
      <w:pPr/>
      <w:r>
        <w:rPr>
          <w:i w:val="1"/>
          <w:iCs w:val="1"/>
        </w:rPr>
        <w:t xml:space="preserve">Схема — рисунок — график — таблица — текст</w:t>
      </w:r>
      <w:r>
        <w:rPr/>
        <w:t xml:space="preserve">. Именно в этой последовательности нужно выбирать, каким способом иллюстрировать информацию. Если схема — неудачный вариант, тогда попробуйте рисунок и так далее.</w:t>
      </w:r>
    </w:p>
    <w:p>
      <w:pPr/>
      <w:r>
        <w:rPr/>
        <w:t xml:space="preserve">Включайте в слайд как можно меньше объектов. Американский психолог Джордж Миллер доказал, что человек способен одновременно помнить 7±2 объекта. Поэтому для качественного восприятия слайд может содержать, к примеру, список из не более, чем 5 пунктов, схему из 5-6 элементов или график с тем же количеством выведенных данных.</w:t>
      </w:r>
    </w:p>
    <w:p>
      <w:pPr/>
      <w:r>
        <w:rPr/>
        <w:t xml:space="preserve">Выбирайте не больше 3 цветов для оформления слайда. Не нужно инверсии цветов: читать белые буквы на чёрном фоне очень тяжело. Используйте нейтральные цвета, особенно если презентация рассчитана на аудиторию из людей другой культуры.</w:t>
      </w:r>
    </w:p>
    <w:p>
      <w:pPr/>
      <w:r>
        <w:rPr/>
        <w:t xml:space="preserve">Делайте все слайды в одном стиле. Это касается и используемого шаблона, и подбора шрифтов, и цветов оформления.</w:t>
      </w:r>
    </w:p>
    <w:p>
      <w:pPr/>
      <w:r>
        <w:rPr/>
        <w:t xml:space="preserve">Итоговый слайд запоминается лучше всего. Он идеален для того, чтобы зафиксировать внимание слушателей на главном сообщении всей презентации.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учебной дисциплины  включает в себя часы, отведенные на проведение лекционных и практических занятий, а также самостоятельную работу студентов. Для более глубокого осмысления материала курса с точки зрения современного контекста протекания социальных изменений в обществе, глобальных социально-экономических процессов рекомендуется самостоятельное прочтение студентами современной научной литературы, приведенной в перечне дополнительной литературы, с последующим обсуждением в рамках учебных занятий.</w:t>
      </w:r>
    </w:p>
    <w:p>
      <w:pPr/>
      <w:r>
        <w:rPr/>
        <w:t xml:space="preserve">Аудиторные занятия рекомендуется проводить в интерактивной форме, в режиме постоянного контакта и обратной связи со студенческой аудиторией. Текущий контроль успеваемости осуществляется с помощью регулярных фронтальных опросов, на основе результатов выполнения практических заданий и заданий для самостоятельной работы, в ходе работы на семинарских и практических занятиях. Формой промежуточной аттестации является зачет, который проводится в традиционной вопросно-ответной форме.</w:t>
      </w:r>
    </w:p>
    <w:p>
      <w:pPr/>
      <w:r>
        <w:rPr/>
        <w:t xml:space="preserve">В процессе изучения дисциплины предусмотрены следующие формы контроля: текущий, промежуточный контроль (доклад, проектная работа), контроль самостоятельной работы студента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1.Ягофаров Д. А. Нормативно-правовое обеспечение образования. Правовое регулирование системы образования: учеб. пособие для вузов по пед. спец. / Д. А. Ягофаров. - М.: ВЛАДОС-ПРЕСС, 2008. - 399 с.</w:t>
      </w:r>
    </w:p>
    <w:p>
      <w:pPr/>
      <w:r>
        <w:rPr/>
        <w:t xml:space="preserve">2.Столяров В. И. Экономика: учеб. для студентов вузов по спец. 030500.18 "Проф. обучение" / В. И. Столяров. - М.: Академия, 2008. - 512 с.</w:t>
      </w:r>
    </w:p>
    <w:p>
      <w:pPr/>
      <w:r>
        <w:rPr/>
        <w:t xml:space="preserve">3.Экономика в вопросах и ответах: учеб. пособие для студентов / под ред. И. П. Николаевой. - М.: Проспект, 2009. - 336 с.</w:t>
      </w:r>
    </w:p>
    <w:p>
      <w:pPr/>
      <w:r>
        <w:rPr/>
        <w:t xml:space="preserve">4.Экономика и социология труда: учеб. для студентов вузов по спец. / А. Я. Кибанов [и др.] ; под ред. А. Я. Кибанова. - М.: ИНФРА-М, 2009. - 584 с.</w:t>
      </w:r>
    </w:p>
    <w:p>
      <w:pPr/>
      <w:r>
        <w:rPr/>
        <w:t xml:space="preserve">5.Мумладзе Р. Г., Гужина Г. Н. Экономика и социология труда: учеб. для студентов вузов по экон. спец. / Р. Г. Мумладзе, Г. Н. Гужина. - М.: Кнорус, 2009. - 328 с.</w:t>
      </w:r>
    </w:p>
    <w:p>
      <w:pPr/>
      <w:r>
        <w:rPr/>
        <w:t xml:space="preserve">6.Липатникова И. Г. Современные теории и технологии образования: курс лекций и практ. занятий / И. Г. Липатникова; Урал. гос. пед. ун-т. - Екатеринбург, 2009. - 110 с.</w:t>
      </w:r>
    </w:p>
    <w:p>
      <w:pPr/>
      <w:r>
        <w:rPr/>
        <w:t xml:space="preserve">7.Матанцева О. Ю., Гогопуло Н. Н. Финансы, денежное обращение и кредит: учеб. пособие для студентов вузов. - М. : Академия, 2011. - 208 с.</w:t>
      </w:r>
    </w:p>
    <w:p>
      <w:pPr>
        <w:numPr>
          <w:ilvl w:val="0"/>
          <w:numId w:val="1"/>
        </w:numPr>
      </w:pPr>
      <w:r>
        <w:rPr/>
        <w:t xml:space="preserve">Нормативно-правовое обеспечение образования. Правовое регулирование системы образования: учеб. пособие для вузов / Д. А. Ягофаров. - М.: ВЛАДОС-ПРЕСС, 2008. - 399 с.</w:t>
      </w:r>
    </w:p>
    <w:p>
      <w:pPr>
        <w:numPr>
          <w:ilvl w:val="0"/>
          <w:numId w:val="1"/>
        </w:numPr>
      </w:pPr>
      <w:r>
        <w:rPr/>
        <w:t xml:space="preserve">Внутришкольная система управления качеством образования. Как управлять качеством образования в ОУ / Дмитрий Иванов. - М.: Чистые пруды, 2009.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1.Абрамова Т. В. Квалиметрия как инструмент оценки качества образования: / Т. В. Абрамова, Н. Г. Корнещук, Г. Ш. Рубин // Стандарты и мониторинг в образовании, 2006. - № 3.</w:t>
      </w:r>
    </w:p>
    <w:p>
      <w:pPr/>
      <w:r>
        <w:rPr/>
        <w:t xml:space="preserve">2.Алфеева, Е. Л. Модель информационной среды профессиональной деятельности в образовании: / Е. Л. Алфеева // Информационные технологии, 2006. - № 10.</w:t>
      </w:r>
    </w:p>
    <w:p>
      <w:pPr>
        <w:numPr>
          <w:ilvl w:val="0"/>
          <w:numId w:val="2"/>
        </w:numPr>
      </w:pPr>
      <w:r>
        <w:rPr/>
        <w:t xml:space="preserve">Буланичев, В. А. Информационные технологии в образовательной среде вуза: / В. А. Буланичев, Л. А. Серков, С. И. Казаков // Информационные технологии, 2004. - № 9.</w:t>
      </w:r>
    </w:p>
    <w:p>
      <w:pPr>
        <w:numPr>
          <w:ilvl w:val="0"/>
          <w:numId w:val="2"/>
        </w:numPr>
      </w:pPr>
      <w:r>
        <w:rPr/>
        <w:t xml:space="preserve">Колин, К. К. Социальные аспекты информатизации образования: / К. К. Колин // Информационные технологии, 2003. - № 3.</w:t>
      </w:r>
    </w:p>
    <w:p>
      <w:pPr>
        <w:numPr>
          <w:ilvl w:val="0"/>
          <w:numId w:val="2"/>
        </w:numPr>
      </w:pPr>
      <w:r>
        <w:rPr/>
        <w:t xml:space="preserve">Литвенко, Э. В. Квалиметрический подход к определению качества управления образовательным учреждением / Э. В. Литвенко // Педагогика, 2004. - № 10.</w:t>
      </w:r>
    </w:p>
    <w:p>
      <w:pPr>
        <w:numPr>
          <w:ilvl w:val="0"/>
          <w:numId w:val="2"/>
        </w:numPr>
      </w:pPr>
      <w:r>
        <w:rPr/>
        <w:t xml:space="preserve">Лобашев В. Д. Педагогическая квалиметрия результатов обучения / В. Д. Лобашев, И. В. Лобашев // Стандарты и мониторинг в образовании, 2005. - № 1.</w:t>
      </w:r>
    </w:p>
    <w:p>
      <w:pPr>
        <w:numPr>
          <w:ilvl w:val="0"/>
          <w:numId w:val="2"/>
        </w:numPr>
      </w:pPr>
      <w:r>
        <w:rPr/>
        <w:t xml:space="preserve">Мишненков, Т. А. Цена образовательной услуги / Т. А. Мишненков // Главбух, 2000. - № 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Российский общеобразовательный портал [Электронный ресурс]. – Режим</w:t>
      </w:r>
    </w:p>
    <w:p>
      <w:pPr/>
      <w:r>
        <w:rPr/>
        <w:t xml:space="preserve">доступа: </w:t>
      </w:r>
      <w:r>
        <w:rPr/>
        <w:t xml:space="preserve">http</w:t>
      </w:r>
      <w:r>
        <w:rPr/>
        <w:t xml:space="preserve">://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, свободный. – Загл. с экрана.</w:t>
      </w:r>
    </w:p>
    <w:p>
      <w:pPr>
        <w:numPr>
          <w:ilvl w:val="0"/>
          <w:numId w:val="4"/>
        </w:numPr>
      </w:pPr>
      <w:r>
        <w:rPr/>
        <w:t xml:space="preserve">Российское образование. Федеральный портал [Электронный ресурс]. – Режим</w:t>
      </w:r>
    </w:p>
    <w:p>
      <w:pPr/>
      <w:r>
        <w:rPr/>
        <w:t xml:space="preserve">доступа: </w:t>
      </w:r>
      <w:r>
        <w:rPr/>
        <w:t xml:space="preserve">http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, свободный. – Загл. с экрана.</w:t>
      </w:r>
    </w:p>
    <w:p>
      <w:pPr/>
      <w:r>
        <w:rPr/>
        <w:t xml:space="preserve">3. База данных бюджетного мониторинга: </w:t>
      </w:r>
      <w:hyperlink r:id="rId7" w:history="1">
        <w:r>
          <w:rPr/>
          <w:t xml:space="preserve">https://www.iminfin.ru/areas-of-analysis/budget/finansoviy-pasport-subjecta-rf/raskhody-detalno?territory=86000000 – Загл. с экрана.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Информационное обеспечение дисциплины в системе электронного (дистанционного) обучения: УММ по дисциплине «Экономика образования» размещены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4221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08586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38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29C5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47E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infin.ru/areas-of-analysis/budget/finansoviy-pasport-subjecta-rf/raskhody-detalno?territory=860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