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Экономика и управление производством (О), Правоведение (О), Проектная деятельность (О), Учебная практика по проектной деятельности (И),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частного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публичного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изложение, работа в малых группах, дискуссия, использование ИКТ для представления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  <w:u w:val="single"/>
        </w:rPr>
        <w:t xml:space="preserve">Темы дискуссий: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Реферат </w:t>
      </w:r>
      <w:r>
        <w:rPr/>
        <w:t xml:space="preserve">– это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5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/>
      <w:r>
        <w:rPr/>
        <w:t xml:space="preserve">Методические рекомендации по составлению конспекта учебной или научной литературы: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</w:t>
      </w:r>
    </w:p>
    <w:p>
      <w:pPr/>
      <w:r>
        <w:rPr/>
        <w:t xml:space="preserve">Овладение навыками конспектирования требует от обучающегося целеустремленности, повседневной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проектная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Наименее эффективной является оценка знаний при помощи рефератов. Для удовлетворительного результата требуется индивидуальная работа с каждым студентом при разборе и оценке. Может использоваться в качестве средства отработки пропущенного материала.</w:t>
      </w:r>
    </w:p>
    <w:p>
      <w:pPr/>
      <w:r>
        <w:rPr/>
        <w:t xml:space="preserve">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  Балашов, А. И. Правоведение: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др.]: Питер, 2010. - 475 с. – 50 экз.</w:t>
      </w:r>
    </w:p>
    <w:p>
      <w:pPr>
        <w:numPr>
          <w:ilvl w:val="0"/>
          <w:numId w:val="7"/>
        </w:numPr>
      </w:pPr>
      <w:r>
        <w:rPr/>
        <w:t xml:space="preserve">Кашанина, Т. В. Основы права: учебник для средних специальных учебных заведений / Т. В. Кашанина, Н. М. Сизикова. - Москва: Юрайт, 2010. - 413 с. – 2 экз.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Марченко, М. Н. Правоведение: учебник для студентов вузов неюрид. профиля, обучающихся по всем направлениям подгот. бакалавров и магистров, направлениям подгот. дипломированных специалистов, специальностям высшего проф. образования / М. Н. Марченко, Е. М. Дерябина; Московский гос. ун-т им. М. В. Ломоносова, Юрид. фак. - Москва: Проспект, 2004. - 416 с. – 1 экз.</w:t>
      </w:r>
    </w:p>
    <w:p>
      <w:pPr>
        <w:numPr>
          <w:ilvl w:val="0"/>
          <w:numId w:val="8"/>
        </w:numPr>
      </w:pPr>
      <w:r>
        <w:rPr/>
        <w:t xml:space="preserve">Марочкин, С. Ю. Действие и реализация норм международного права в правовой системе Российской Федерации / С. Ю. Марочкин. - Москва: Издательство НОРМА, 2015. - 287 с. – 10 экз.</w:t>
      </w:r>
    </w:p>
    <w:p>
      <w:pPr>
        <w:numPr>
          <w:ilvl w:val="0"/>
          <w:numId w:val="8"/>
        </w:numPr>
      </w:pPr>
      <w:r>
        <w:rPr/>
        <w:t xml:space="preserve">Марченко, М. Н. Теория государства и права: учебник / М. Н. Марченко; Московский государственный университет имени М. В. Ломоносова. - 2-е изд., перераб. и доп. - Москва: Проспект: Издательство Московского университета, 2016. - 637 с. - 1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Профессиональные базы данных и информационные справочные системы:</w:t>
      </w:r>
    </w:p>
    <w:p>
      <w:pPr/>
      <w:r>
        <w:rPr/>
        <w:t xml:space="preserve">1. КонсультантПлюс: справ.-правовая система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4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42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E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9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2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41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54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D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4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93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A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DF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