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Избирательное право и право на участие в референдуме. Международные стандарты избирательных прав. Статус избирательных комиссий. Информационное обеспечение выборов и референдумов. Проведение голосования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видов работы студентов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Виды Конституции.</w:t>
      </w:r>
    </w:p>
    <w:p>
      <w:pPr>
        <w:numPr>
          <w:ilvl w:val="0"/>
          <w:numId w:val="1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1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1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1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1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1"/>
        </w:numPr>
      </w:pPr>
      <w:r>
        <w:rPr/>
        <w:t xml:space="preserve">Охрана Конституции.</w:t>
      </w:r>
    </w:p>
    <w:p>
      <w:pPr>
        <w:numPr>
          <w:ilvl w:val="0"/>
          <w:numId w:val="1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1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1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1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1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1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1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1"/>
        </w:numPr>
      </w:pPr>
      <w:r>
        <w:rPr/>
        <w:t xml:space="preserve">Социальное государство.</w:t>
      </w:r>
    </w:p>
    <w:p>
      <w:pPr>
        <w:numPr>
          <w:ilvl w:val="0"/>
          <w:numId w:val="1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1"/>
        </w:numPr>
      </w:pPr>
      <w:r>
        <w:rPr/>
        <w:t xml:space="preserve">Суверенитет народа.</w:t>
      </w:r>
    </w:p>
    <w:p>
      <w:pPr>
        <w:numPr>
          <w:ilvl w:val="0"/>
          <w:numId w:val="1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1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1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1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1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1"/>
        </w:numPr>
      </w:pPr>
      <w:r>
        <w:rPr/>
        <w:t xml:space="preserve">Законодательный процесс.</w:t>
      </w:r>
    </w:p>
    <w:p>
      <w:pPr>
        <w:numPr>
          <w:ilvl w:val="0"/>
          <w:numId w:val="1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1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1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1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1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1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1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1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1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1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1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1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1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1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1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1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1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1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1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1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1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1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1"/>
        </w:numPr>
      </w:pPr>
      <w:r>
        <w:rPr/>
        <w:t xml:space="preserve">Судебная власть в России.</w:t>
      </w:r>
    </w:p>
    <w:p>
      <w:pPr>
        <w:numPr>
          <w:ilvl w:val="0"/>
          <w:numId w:val="1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8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FAB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2026-04-23T19:23:33+03:00</dcterms:created>
  <dcterms:modified xsi:type="dcterms:W3CDTF">2026-04-23T19:23:33+03:00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