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ЛОГИСТИКА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и маркетинг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и маркетинг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p>
        </w:tc>
        <w:tc>
          <w:tcPr>
            <w:tcW w:w="3100" w:type="dxa"/>
            <w:noWrap/>
          </w:tcPr>
          <w:p>
            <w:pPr/>
            <w:r>
              <w:rPr/>
              <w:t xml:space="preserve">ОПК-6.1. Знает основы информатики;</w:t>
            </w:r>
          </w:p>
          <w:p/>
          <w:p>
            <w:pPr/>
            <w:r>
              <w:rPr/>
              <w:t xml:space="preserve">ОПК-6.2. Знает принципы организации, хранения, представления данных;</w:t>
            </w:r>
          </w:p>
          <w:p/>
          <w:p>
            <w:pPr/>
            <w:r>
              <w:rPr/>
              <w:t xml:space="preserve">ОПК-6.3. Знает методы поиска, сбора, хранения, обработки, предоставления, передачи информации при решении задач профессиональной деятельности;</w:t>
            </w:r>
          </w:p>
          <w:p/>
          <w:p>
            <w:pPr/>
            <w:r>
              <w:rPr/>
              <w:t xml:space="preserve">ОПК-6.4. Знает принципы информационной безопасности;</w:t>
            </w:r>
          </w:p>
          <w:p/>
          <w:p>
            <w:pPr/>
            <w:r>
              <w:rPr/>
              <w:t xml:space="preserve">ОПК-6.4. Умеет выбирать и использовать методы и технологии поиска, сбора, хранения, обработки, представления и передачи информации;</w:t>
            </w:r>
          </w:p>
          <w:p/>
          <w:p>
            <w:pPr/>
            <w:r>
              <w:rPr/>
              <w:t xml:space="preserve">ОПК-6.5. Владеет навыками применения информационно-коммуникационных технологий для поиска, сбора, хранения, обработки, представления и передачи информации.</w:t>
            </w:r>
          </w:p>
        </w:tc>
      </w:tr>
      <w:tr>
        <w:trPr/>
        <w:tc>
          <w:tcPr>
            <w:tcW w:w="2500" w:type="dxa"/>
            <w:noWrap/>
          </w:tcPr>
          <w:p>
            <w:pPr>
              <w:jc w:val="numTab"/>
              <w:ind w:left="0" w:right="0" w:firstLine="0" w:hanging="0"/>
            </w:pPr>
            <w:r>
              <w:rPr/>
              <w:t xml:space="preserve">ОПК-14
Начальный, Основной</w:t>
            </w:r>
          </w:p>
        </w:tc>
        <w:tc>
          <w:tcPr>
            <w:tcW w:w="4000" w:type="dxa"/>
            <w:noWrap/>
          </w:tcPr>
          <w:p>
            <w:pPr>
              <w:jc w:val="numTab"/>
              <w:ind w:left="0" w:right="0" w:firstLine="0" w:hanging="0"/>
            </w:pPr>
            <w:r>
              <w:rPr/>
              <w:t xml:space="preserve">Способен разрабатывать алгоритмы и компьютерные программы, пригодные для практического применения</w:t>
            </w:r>
          </w:p>
        </w:tc>
        <w:tc>
          <w:tcPr>
            <w:tcW w:w="3100" w:type="dxa"/>
            <w:noWrap/>
          </w:tcPr>
          <w:p>
            <w:pPr/>
            <w:r>
              <w:rPr/>
              <w:t xml:space="preserve">ОПК-14.1. Понимает принципы построения алгоритмов и компьютерных программ, пригодных для практического применения в сфере своей профессиональной деятельности;</w:t>
            </w:r>
          </w:p>
          <w:p/>
          <w:p>
            <w:pPr/>
            <w:r>
              <w:rPr/>
              <w:t xml:space="preserve">ОПК-14.2. Владеет навыками программирования, отладки и тестирования компьютерных программ в сфере своей профессиональной деятельности; </w:t>
            </w:r>
          </w:p>
          <w:p/>
          <w:p>
            <w:pPr/>
            <w:r>
              <w:rPr/>
              <w:t xml:space="preserve">ОПК-14.3. Способен творчески модифицировать методологию и технические средства для решения различных задач 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Логистика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Информатика, Моделирование производственных процессов, Математические методы и модели в расчетах на ЭВМ, Производственный менеджмент и маркетинг, Введение в профессиональную деятельность, Экономика организации.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w:t>
            </w:r>
          </w:p>
        </w:tc>
        <w:tc>
          <w:tcPr>
            <w:noWrap/>
          </w:tcPr>
          <w:p>
            <w:pPr>
              <w:jc w:val="left"/>
              <w:ind w:left="0" w:right="0" w:firstLine="0" w:hanging="0"/>
            </w:pPr>
            <w:r>
              <w:rPr/>
              <w:t xml:space="preserve">19</w:t>
            </w:r>
          </w:p>
        </w:tc>
        <w:tc>
          <w:tcPr>
            <w:noWrap/>
          </w:tcPr>
          <w:p>
            <w:pPr>
              <w:jc w:val="left"/>
              <w:ind w:left="0" w:right="0" w:firstLine="0" w:hanging="0"/>
            </w:pPr>
            <w:r>
              <w:rPr/>
              <w:t xml:space="preserve">2</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Функциональные области логистики</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Логистический подход к организации и управлению деятельностью организации. Основные понятия логистики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Логистический подход к организации и управлению деятельностью организации. Сущность логистического подхода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Логистический подход к организации и управлению деятельностью организации. Объекты и субъекты логистического управления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Основные понятия логистики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Сущность логистического подхода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Объекты и субъекты логистического 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Закупочная логистика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Распределительная логистика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Складская логистика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Логистика запасов</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Транспортная логистика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промежуточных тестов</w:t>
            </w:r>
          </w:p>
        </w:tc>
        <w:tc>
          <w:tcPr>
            <w:noWrap/>
          </w:tcPr>
          <w:p>
            <w:pPr>
              <w:jc w:val="left"/>
              <w:ind w:left="0" w:right="0" w:firstLine="0" w:hanging="0"/>
            </w:pPr>
            <w:r>
              <w:rPr/>
              <w:t xml:space="preserve">21</w:t>
            </w:r>
          </w:p>
        </w:tc>
        <w:tc>
          <w:tcPr>
            <w:noWrap/>
          </w:tcPr>
          <w:p>
            <w:pPr>
              <w:jc w:val="left"/>
              <w:ind w:left="0" w:right="0" w:firstLine="0" w:hanging="0"/>
            </w:pPr>
            <w:r>
              <w:rPr/>
              <w:t xml:space="preserve">21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35</w:t>
            </w:r>
          </w:p>
        </w:tc>
        <w:tc>
          <w:tcPr>
            <w:noWrap/>
          </w:tcPr>
          <w:p>
            <w:pPr>
              <w:jc w:val="left"/>
              <w:ind w:left="0" w:right="0" w:firstLine="0" w:hanging="0"/>
            </w:pPr>
            <w:r>
              <w:rPr/>
              <w:t xml:space="preserve">25</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88</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2 часа лекций, читаемых с использованием презентации, в классах, оборудованных мультимедийным оборудованием. </w:t>
      </w:r>
    </w:p>
    <w:p>
      <w:pPr/>
      <w:r>
        <w:rPr/>
        <w:t xml:space="preserve">По предмету "Логистика" разработан дистанционный курс в среде WebCT. Дистанционный курс содержит все необходимые для освоения предмета материалы: учебное пособие в электронном виде, а также ряд тестов по различным разделам материала.</w:t>
      </w:r>
    </w:p>
    <w:p>
      <w:pPr/>
      <w:r>
        <w:rPr/>
        <w:t xml:space="preserve">Самостоятельная работа студентов над теоретическим курсом осуществляется в рамках разработанного дистанционного курса "Логистика", размещенного на сайте ПетрГУ Webct.ru. Перед изучением курса каждый студент регистрируется на сайте ПетрГУ  Webct.ru.</w:t>
      </w:r>
    </w:p>
    <w:p>
      <w:pPr/>
      <w:r>
        <w:rPr/>
        <w:t xml:space="preserve">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b w:val="1"/>
          <w:bCs w:val="1"/>
        </w:rPr>
        <w:t xml:space="preserve">Набор тестов для текущего самотестирования.</w:t>
      </w:r>
    </w:p>
    <w:p>
      <w:pPr/>
      <w:r>
        <w:rPr/>
        <w:t xml:space="preserve">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Тесты является частью дистанционного курса по дисциплине и реализован средствами Moodle.</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w="16455" w:type="dxa"/>
      </w:tblGrid>
      <w:tblPr>
        <w:tblW w:w="0" w:type="auto"/>
        <w:tblLayout w:type="autofit"/>
      </w:tblPr>
      <w:tr>
        <w:trPr>
          <w:trHeight w:val="1995" w:hRule="exact"/>
        </w:trPr>
        <w:tc>
          <w:tcPr>
            <w:tcW w:w="16455" w:type="dxa"/>
            <w:noWrap/>
          </w:tcPr>
          <w:p>
            <w:pPr/>
            <w:r>
              <w:rPr/>
              <w:t xml:space="preserve">Какие цели создания информационной системы на предприятии: a) обеспечить согласованность действий структурных подразделений предприятия, его дееспособность и гибкость, расширение функций предприятия в соответствии с требованиями рынка; b) обеспечение непрерывного трудового процесса и соответствующих условий труда для персонала; c) сбор фактических данных, первичный анализ производства и потребления.</w:t>
            </w:r>
          </w:p>
          <w:p>
            <w:pPr/>
            <w:r>
              <w:rPr/>
              <w:t xml:space="preserve"> </w:t>
            </w:r>
          </w:p>
        </w:tc>
      </w:tr>
      <w:tr>
        <w:trPr>
          <w:trHeight w:val="3180" w:hRule="exact"/>
        </w:trPr>
        <w:tc>
          <w:tcPr>
            <w:tcW w:w="16455" w:type="dxa"/>
            <w:noWrap/>
          </w:tcPr>
          <w:tbl>
            <w:tblGrid>
              <w:gridCol w:w="16455" w:type="dxa"/>
              <w:gridCol w:w="675" w:type="dxa"/>
              <w:gridCol w:w="1605" w:type="dxa"/>
            </w:tblGrid>
            <w:tblPr>
              <w:tblW w:w="0" w:type="auto"/>
              <w:tblLayout w:type="autofit"/>
            </w:tblPr>
            <w:tr>
              <w:trPr/>
              <w:tc>
                <w:tcPr>
                  <w:tcW w:w="16455" w:type="dxa"/>
                  <w:noWrap/>
                </w:tcPr>
                <w:p>
                  <w:pPr/>
                  <w:r>
                    <w:rPr/>
                    <w:t xml:space="preserve"> </w:t>
                  </w:r>
                </w:p>
              </w:tc>
              <w:tc>
                <w:tcPr>
                  <w:tcW w:w="675" w:type="dxa"/>
                  <w:noWrap/>
                </w:tcPr>
                <w:p>
                  <w:pPr/>
                  <w:r>
                    <w:rPr/>
                    <w:t xml:space="preserve">a.</w:t>
                  </w:r>
                </w:p>
              </w:tc>
              <w:tc>
                <w:tcPr>
                  <w:tcW w:w="1605" w:type="dxa"/>
                  <w:noWrap/>
                </w:tcPr>
                <w:p>
                  <w:pPr/>
                  <w:r>
                    <w:rPr/>
                    <w:t xml:space="preserve">a,b,c</w:t>
                  </w:r>
                </w:p>
              </w:tc>
            </w:tr>
            <w:tr>
              <w:trPr/>
              <w:tc>
                <w:tcPr>
                  <w:tcW w:w="16455" w:type="dxa"/>
                  <w:noWrap/>
                </w:tcPr>
                <w:p>
                  <w:pPr/>
                  <w:r>
                    <w:rPr/>
                    <w:t xml:space="preserve"> </w:t>
                  </w:r>
                </w:p>
              </w:tc>
              <w:tc>
                <w:tcPr>
                  <w:tcW w:w="675" w:type="dxa"/>
                  <w:noWrap/>
                </w:tcPr>
                <w:p>
                  <w:pPr/>
                  <w:r>
                    <w:rPr/>
                    <w:t xml:space="preserve">b.</w:t>
                  </w:r>
                </w:p>
              </w:tc>
              <w:tc>
                <w:tcPr>
                  <w:tcW w:w="1605" w:type="dxa"/>
                  <w:noWrap/>
                </w:tcPr>
                <w:p>
                  <w:pPr/>
                  <w:r>
                    <w:rPr/>
                    <w:t xml:space="preserve">a,b</w:t>
                  </w:r>
                </w:p>
              </w:tc>
            </w:tr>
            <w:tr>
              <w:trPr/>
              <w:tc>
                <w:tcPr>
                  <w:tcW w:w="16455" w:type="dxa"/>
                  <w:noWrap/>
                </w:tcPr>
                <w:p>
                  <w:pPr/>
                  <w:r>
                    <w:rPr/>
                    <w:t xml:space="preserve"> </w:t>
                  </w:r>
                </w:p>
              </w:tc>
              <w:tc>
                <w:tcPr>
                  <w:tcW w:w="675" w:type="dxa"/>
                  <w:noWrap/>
                </w:tcPr>
                <w:p>
                  <w:pPr/>
                  <w:r>
                    <w:rPr/>
                    <w:t xml:space="preserve">c.</w:t>
                  </w:r>
                </w:p>
              </w:tc>
              <w:tc>
                <w:tcPr>
                  <w:tcW w:w="1605" w:type="dxa"/>
                  <w:noWrap/>
                </w:tcPr>
                <w:p>
                  <w:pPr/>
                  <w:r>
                    <w:rPr/>
                    <w:t xml:space="preserve">b,c</w:t>
                  </w:r>
                </w:p>
              </w:tc>
            </w:tr>
            <w:tr>
              <w:trPr/>
              <w:tc>
                <w:tcPr>
                  <w:tcW w:w="16455" w:type="dxa"/>
                  <w:noWrap/>
                </w:tcPr>
                <w:p>
                  <w:pPr/>
                  <w:r>
                    <w:rPr/>
                    <w:t xml:space="preserve"> </w:t>
                  </w:r>
                </w:p>
              </w:tc>
              <w:tc>
                <w:tcPr>
                  <w:tcW w:w="675" w:type="dxa"/>
                  <w:noWrap/>
                </w:tcPr>
                <w:p>
                  <w:pPr/>
                  <w:r>
                    <w:rPr/>
                    <w:t xml:space="preserve">d.</w:t>
                  </w:r>
                </w:p>
              </w:tc>
              <w:tc>
                <w:tcPr>
                  <w:tcW w:w="1605" w:type="dxa"/>
                  <w:noWrap/>
                </w:tcPr>
                <w:p>
                  <w:pPr/>
                  <w:r>
                    <w:rPr/>
                    <w:t xml:space="preserve">a,c</w:t>
                  </w:r>
                </w:p>
              </w:tc>
            </w:tr>
          </w:tbl>
          <w:p/>
        </w:tc>
      </w:tr>
    </w:tbl>
    <w:p>
      <w:pPr/>
      <w:r>
        <w:rPr/>
        <w:t xml:space="preserve"> </w:t>
      </w:r>
    </w:p>
    <w:p>
      <w:pPr>
        <w:pStyle w:val="Heading3"/>
      </w:pPr>
      <w:r>
        <w:rPr>
          <w:b w:val="1"/>
          <w:bCs w:val="1"/>
        </w:rPr>
        <w:t xml:space="preserve">Тест для подготовки к экзамену</w:t>
      </w:r>
    </w:p>
    <w:p>
      <w:pPr/>
      <w:r>
        <w:rPr/>
        <w:t xml:space="preserve">Тест для подготовки к экзамену по форме и содержанию эквивалентен тесту, который предлагается студентам на экзамене. Для подготовки к экзамену обучающимся предоставляется две попытки пройти подготовительный тест. Тест является частью дистанционного курса по дисциплине и реализован средствами Moodle.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tblGrid>
      <w:tblPr>
        <w:tblW w:w="0" w:type="auto"/>
        <w:tblLayout w:type="autofit"/>
      </w:tblPr>
      <w:tr>
        <w:trPr/>
        <w:tc>
          <w:tcPr>
            <w:noWrap/>
          </w:tcPr>
          <w:p>
            <w:pPr/>
            <w:r>
              <w:rPr/>
              <w:t xml:space="preserve">Физическое товародвижение заключается в...</w:t>
            </w:r>
          </w:p>
          <w:p>
            <w:pPr/>
            <w:r>
              <w:rPr/>
              <w:t xml:space="preserve"> </w:t>
            </w:r>
          </w:p>
        </w:tc>
      </w:tr>
      <w:tr>
        <w:trPr/>
        <w:tc>
          <w:tcPr>
            <w:noWrap/>
          </w:tcPr>
          <w:tbl>
            <w:tblGrid>
              <w:gridCol w:w="7560" w:type="dxa"/>
              <w:gridCol w:w="675" w:type="dxa"/>
              <w:gridCol w:w="7560" w:type="dxa"/>
            </w:tblGrid>
            <w:tblPr>
              <w:tblW w:w="7560" w:type="dxa"/>
              <w:tblLayout w:type="autofit"/>
            </w:tblPr>
            <w:tr>
              <w:trPr/>
              <w:tc>
                <w:tcPr>
                  <w:tcW w:w="7560" w:type="dxa"/>
                  <w:noWrap/>
                </w:tcPr>
                <w:p>
                  <w:pPr/>
                  <w:r>
                    <w:rPr/>
                    <w:t xml:space="preserve"> </w:t>
                  </w:r>
                </w:p>
              </w:tc>
              <w:tc>
                <w:tcPr>
                  <w:tcW w:w="675" w:type="dxa"/>
                  <w:noWrap/>
                </w:tcPr>
                <w:p>
                  <w:pPr/>
                  <w:r>
                    <w:rPr/>
                    <w:t xml:space="preserve">a.</w:t>
                  </w:r>
                </w:p>
              </w:tc>
              <w:tc>
                <w:tcPr>
                  <w:tcW w:w="7560" w:type="dxa"/>
                  <w:noWrap/>
                </w:tcPr>
                <w:p>
                  <w:pPr/>
                  <w:r>
                    <w:rPr/>
                    <w:t xml:space="preserve">...продвижении товара из одного географического пункта в другой</w:t>
                  </w:r>
                </w:p>
              </w:tc>
            </w:tr>
            <w:tr>
              <w:trPr/>
              <w:tc>
                <w:tcPr>
                  <w:tcW w:w="7560" w:type="dxa"/>
                  <w:noWrap/>
                </w:tcPr>
                <w:p>
                  <w:pPr/>
                  <w:r>
                    <w:rPr/>
                    <w:t xml:space="preserve"> </w:t>
                  </w:r>
                </w:p>
              </w:tc>
              <w:tc>
                <w:tcPr>
                  <w:tcW w:w="675" w:type="dxa"/>
                  <w:noWrap/>
                </w:tcPr>
                <w:p>
                  <w:pPr/>
                  <w:r>
                    <w:rPr/>
                    <w:t xml:space="preserve">b.</w:t>
                  </w:r>
                </w:p>
              </w:tc>
              <w:tc>
                <w:tcPr>
                  <w:tcW w:w="7560" w:type="dxa"/>
                  <w:noWrap/>
                </w:tcPr>
                <w:p>
                  <w:pPr/>
                  <w:r>
                    <w:rPr/>
                    <w:t xml:space="preserve">...переходе товара от одного владельца к другому</w:t>
                  </w:r>
                </w:p>
              </w:tc>
            </w:tr>
          </w:tbl>
          <w:p/>
        </w:tc>
      </w:tr>
    </w:tbl>
    <w:p/>
    <w:p>
      <w:pPr/>
      <w:r>
        <w:rPr/>
        <w:t xml:space="preserve">5.2. Промежуточная аттестация проводится в виде:</w:t>
      </w:r>
    </w:p>
    <w:p/>
    <w:p>
      <w:pPr/>
      <w:r>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tblGrid>
      <w:tblPr>
        <w:tblW w:w="0" w:type="auto"/>
        <w:tblLayout w:type="autofit"/>
      </w:tblPr>
      <w:tr>
        <w:trPr/>
        <w:tc>
          <w:tcPr>
            <w:noWrap/>
          </w:tcPr>
          <w:p>
            <w:pPr/>
            <w:r>
              <w:rPr/>
              <w:t xml:space="preserve">Какое подразделение из названных стремится минимизировать запасы?</w:t>
            </w:r>
          </w:p>
          <w:p>
            <w:pPr/>
            <w:r>
              <w:rPr/>
              <w:t xml:space="preserve"> </w:t>
            </w:r>
          </w:p>
        </w:tc>
      </w:tr>
      <w:tr>
        <w:trPr/>
        <w:tc>
          <w:tcPr>
            <w:noWrap/>
          </w:tcPr>
          <w:tbl>
            <w:tblGrid>
              <w:gridCol/>
              <w:gridCol w:w="810" w:type="dxa"/>
              <w:gridCol/>
            </w:tblGrid>
            <w:tblPr>
              <w:tblW w:w="0" w:type="auto"/>
              <w:tblLayout w:type="autofit"/>
            </w:tblPr>
            <w:tr>
              <w:trPr/>
              <w:tc>
                <w:tcPr>
                  <w:noWrap/>
                </w:tcPr>
                <w:p>
                  <w:pPr/>
                  <w:r>
                    <w:rPr/>
                    <w:t xml:space="preserve"> </w:t>
                  </w:r>
                </w:p>
              </w:tc>
              <w:tc>
                <w:tcPr>
                  <w:tcW w:w="810" w:type="dxa"/>
                  <w:noWrap/>
                </w:tcPr>
                <w:p>
                  <w:pPr/>
                  <w:r>
                    <w:rPr/>
                    <w:t xml:space="preserve">a.</w:t>
                  </w:r>
                </w:p>
              </w:tc>
              <w:tc>
                <w:tcPr>
                  <w:noWrap/>
                </w:tcPr>
                <w:p>
                  <w:pPr/>
                  <w:r>
                    <w:rPr/>
                    <w:t xml:space="preserve">Служба маркетинга</w:t>
                  </w:r>
                </w:p>
              </w:tc>
            </w:tr>
            <w:tr>
              <w:trPr/>
              <w:tc>
                <w:tcPr>
                  <w:noWrap/>
                </w:tcPr>
                <w:p>
                  <w:pPr/>
                  <w:r>
                    <w:rPr/>
                    <w:t xml:space="preserve"> </w:t>
                  </w:r>
                </w:p>
              </w:tc>
              <w:tc>
                <w:tcPr>
                  <w:tcW w:w="810" w:type="dxa"/>
                  <w:noWrap/>
                </w:tcPr>
                <w:p>
                  <w:pPr/>
                  <w:r>
                    <w:rPr/>
                    <w:t xml:space="preserve">b.</w:t>
                  </w:r>
                </w:p>
              </w:tc>
              <w:tc>
                <w:tcPr>
                  <w:noWrap/>
                </w:tcPr>
                <w:p>
                  <w:pPr/>
                  <w:r>
                    <w:rPr/>
                    <w:t xml:space="preserve">Финансовый отдел</w:t>
                  </w:r>
                </w:p>
              </w:tc>
            </w:tr>
            <w:tr>
              <w:trPr/>
              <w:tc>
                <w:tcPr>
                  <w:noWrap/>
                </w:tcPr>
                <w:p>
                  <w:pPr/>
                  <w:r>
                    <w:rPr/>
                    <w:t xml:space="preserve"> </w:t>
                  </w:r>
                </w:p>
              </w:tc>
              <w:tc>
                <w:tcPr>
                  <w:tcW w:w="810" w:type="dxa"/>
                  <w:noWrap/>
                </w:tcPr>
                <w:p>
                  <w:pPr/>
                  <w:r>
                    <w:rPr/>
                    <w:t xml:space="preserve">c.</w:t>
                  </w:r>
                </w:p>
              </w:tc>
              <w:tc>
                <w:tcPr>
                  <w:noWrap/>
                </w:tcPr>
                <w:p>
                  <w:pPr/>
                  <w:r>
                    <w:rPr/>
                    <w:t xml:space="preserve">Служба закупки</w:t>
                  </w:r>
                </w:p>
              </w:tc>
            </w:tr>
          </w:tbl>
          <w:p/>
        </w:tc>
      </w:tr>
    </w:tbl>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практические занятия, экзамен.</w:t>
      </w:r>
    </w:p>
    <w:p>
      <w:pPr/>
      <w:r>
        <w:rPr/>
        <w:t xml:space="preserve">Проводится промежуточное тестирование, проводимое дистанционно средствами дистанционного курса Moodle "Логистика".</w:t>
      </w:r>
    </w:p>
    <w:p>
      <w:pPr/>
      <w:r>
        <w:rPr/>
        <w:t xml:space="preserve"> </w:t>
      </w: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Для получения аттестации по дисциплине необходимо иметь оценку 3 балла или выше за финальный тест. Оценки за тесты и финальная оценка вычисляется в Moodle автоматически. Все оценки доступны в разделе ДК «Мои оценки». Оценка за финальный тест 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На лекциях используется презентация PowerPoint. Для ее использования требуется мультимедиапроектор и компьютер (ноутбук). Желательно иметь указку.</w:t>
      </w:r>
    </w:p>
    <w:p>
      <w:pPr/>
      <w:r>
        <w:rPr/>
        <w:t xml:space="preserve">Разработанный дистанционный курс  в среде Moodle ПетрГУ, в числе прочего, содержит электронную версию учебника по курсу (Герасимов Ю. Ю. Логистика в лесном комплексе: управление снабжением, транспортом и запасами: Учеб. Пособие. – Петрозаводск: Изд-во ПетрГУ, 2001. – 108 с.). Для его использования студенты должны быть зарегистрированы на сервере Moodle ПетрГУ и получить доступ к ДК «Логистика».</w:t>
      </w:r>
    </w:p>
    <w:p>
      <w:pPr/>
      <w:r>
        <w:rPr/>
        <w:t xml:space="preserve"> </w:t>
      </w:r>
    </w:p>
    <w:p>
      <w:pPr/>
      <w:r>
        <w:rPr>
          <w:b w:val="1"/>
          <w:bCs w:val="1"/>
        </w:rPr>
        <w:t xml:space="preserve">Текущее тестирование</w:t>
      </w:r>
    </w:p>
    <w:p>
      <w:pPr/>
      <w:r>
        <w:rPr/>
        <w:t xml:space="preserve">Для текущего тестирования знаний по различным разделам дисциплины используются размещенные в ДК Moodle тестовые задания: Набор тестов для текущего самотестирования. 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Поэтому студенты должны быть заранее зарегистрированы на сервере Moodle и получить доступ к ДК «Логистика».</w:t>
      </w:r>
    </w:p>
    <w:p>
      <w:pPr/>
      <w:r>
        <w:rPr/>
        <w:t xml:space="preserve">Кроме того, в ДК Moodle «Логистика» размещен тест для подготовки к экзамену, который по форме и содержанию эквивалентен тесту, который предлагается студентам на экзамене. Для подготовки к экзамену обучающимся предоставляется две попытки пройти подготовительный тест.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w:t>
      </w:r>
    </w:p>
    <w:p>
      <w:pPr/>
      <w:r>
        <w:rPr/>
        <w:t xml:space="preserve">  </w:t>
      </w:r>
    </w:p>
    <w:p>
      <w:pPr/>
      <w:r>
        <w:rPr>
          <w:b w:val="1"/>
          <w:bCs w:val="1"/>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Герасимов Ю. Ю. Логистика в лесном комплексе: управление снабжением, транспортом и запасами: Учеб. Пособие. – Петрозаводск: Изд-во ПетрГУ, 2001. – 108 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Бродецкий, Г. Л. Системный анализ в логистике : выбор в условиях неопределенности : учеб. для студентов вузов / Г. Л. Бродецкий. - Москва : Академия, 2010. - 334 с.</w:t>
      </w:r>
    </w:p>
    <w:p>
      <w:pPr>
        <w:numPr>
          <w:ilvl w:val="0"/>
          <w:numId w:val="2"/>
        </w:numPr>
      </w:pPr>
      <w:r>
        <w:rPr/>
        <w:t xml:space="preserve">Инструменты поддержки принятия решений в лесном хозяйстве / [Евгений Лопатин [и др.] ; перевод: Сергей Гладков ; редактор: Людмила Лейнонен]. - Йоэнсуу : Научно-исследовательский институт леса Финляндии, 2014. - 69 с.</w:t>
      </w:r>
    </w:p>
    <w:p>
      <w:pPr>
        <w:numPr>
          <w:ilvl w:val="0"/>
          <w:numId w:val="2"/>
        </w:numPr>
      </w:pPr>
      <w:r>
        <w:rPr/>
        <w:t xml:space="preserve">Миротин, Л. Б. Логистика в автомобильном транспорте : практикум / Л. Б. Миротин, Е. А. Лебедев. - Ростов-на-Дону : Феникс, 2015. - 237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2015. Ч. 1. - 98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2016. Ч. 2. - 78 с.</w:t>
      </w:r>
    </w:p>
    <w:p>
      <w:pPr>
        <w:numPr>
          <w:ilvl w:val="0"/>
          <w:numId w:val="2"/>
        </w:numPr>
      </w:pPr>
      <w:r>
        <w:rPr/>
        <w:t xml:space="preserve">Соколов А.П. Логистическая поддержка лесозаготовок [Текст] / А.П. Соколов, В.К. Катаров, В.С. Сюнёв. - Петрозаводск : Издательство ПетрГУ, 2015. - 160с.</w:t>
      </w:r>
    </w:p>
    <w:p>
      <w:pPr>
        <w:numPr>
          <w:ilvl w:val="0"/>
          <w:numId w:val="2"/>
        </w:numPr>
      </w:pPr>
      <w:r>
        <w:rPr/>
        <w:t xml:space="preserve">Соколов, А. П. Функциональная логистика лесозаготовительного предприятия / А. П. Соколов, Ю. Ю. Герасимов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- 84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3"/>
        </w:numPr>
      </w:pPr>
      <w:r>
        <w:rPr/>
        <w:t xml:space="preserve">Электронная библиотека Республики Карелия http://elibrary.karelia.ru/</w:t>
      </w:r>
    </w:p>
    <w:p>
      <w:pPr>
        <w:numPr>
          <w:ilvl w:val="0"/>
          <w:numId w:val="3"/>
        </w:numPr>
      </w:pPr>
      <w:r>
        <w:rPr/>
        <w:t xml:space="preserve">Электронная библиотечная система «Университетская библиотека онлайн» http://biblioclub.ru/</w:t>
      </w:r>
    </w:p>
    <w:p>
      <w:pPr>
        <w:numPr>
          <w:ilvl w:val="0"/>
          <w:numId w:val="3"/>
        </w:numPr>
      </w:pPr>
      <w:r>
        <w:rPr/>
        <w:t xml:space="preserve">Электронная библиотечная система «Консультант студента. Студенческая электронная библиотека» http://www.studentlibrary.ru</w:t>
      </w:r>
    </w:p>
    <w:p>
      <w:pPr>
        <w:numPr>
          <w:ilvl w:val="0"/>
          <w:numId w:val="3"/>
        </w:numPr>
      </w:pPr>
      <w:r>
        <w:rPr/>
        <w:t xml:space="preserve">другие базы данных, размещенные на сайте Научной библиотеки ПетрГУ в разделе «Электронные журналы и базы данных» </w:t>
      </w:r>
      <w:hyperlink r:id="rId7" w:history="1">
        <w:r>
          <w:rPr/>
          <w:t xml:space="preserve">http://library.petrsu.ru/collections/bd.shtml</w:t>
        </w:r>
      </w:hyperlink>
    </w:p>
    <w:p>
      <w:pPr>
        <w:numPr>
          <w:ilvl w:val="0"/>
          <w:numId w:val="3"/>
        </w:numPr>
      </w:pPr>
      <w:r>
        <w:rPr/>
        <w:t xml:space="preserve">Пакет программ AnyLogic PLE</w:t>
      </w:r>
    </w:p>
    <w:p>
      <w:pPr>
        <w:numPr>
          <w:ilvl w:val="0"/>
          <w:numId w:val="3"/>
        </w:numPr>
      </w:pPr>
      <w:r>
        <w:rPr/>
        <w:t xml:space="preserve">Пакет программ Opti-Wood</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4"/>
        </w:numPr>
      </w:pPr>
      <w:r>
        <w:rPr/>
        <w:t xml:space="preserve">Дистанционный курс "Логистика", размещенный на сервере Moodle ПетрГУ: https://moodle2.petrsu.ru/</w:t>
      </w:r>
    </w:p>
    <w:p>
      <w:pPr>
        <w:numPr>
          <w:ilvl w:val="0"/>
          <w:numId w:val="4"/>
        </w:numPr>
      </w:pPr>
      <w:r>
        <w:rPr/>
        <w:t xml:space="preserve">Рабочая программа дисциплины «Логистика»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инженерных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ИЛГИСН (ауд.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97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952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787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10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C51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7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2026-04-21T04:00:19+03:00</dcterms:created>
  <dcterms:modified xsi:type="dcterms:W3CDTF">2026-04-21T04:00:19+03:00</dcterms:modified>
</cp:coreProperties>
</file>

<file path=docProps/custom.xml><?xml version="1.0" encoding="utf-8"?>
<Properties xmlns="http://schemas.openxmlformats.org/officeDocument/2006/custom-properties" xmlns:vt="http://schemas.openxmlformats.org/officeDocument/2006/docPropsVTypes"/>
</file>