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ИЗУЧЕНИЕ СУДЕБНОЙ ПРАКТИКИ ПО УГОЛОВНЫМ ДЕЛАМ И СОСТАВЛЕНИЕ ПРОЦЕССУАЛЬНЫХ ДОКУМЕНТОВ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«Уголовное право, уголовный процесс и криминалистика»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№1451 и учебным планом по направлению подготовки магистратуры 40.04.01 Юриспруденция  (профиль «Уголовное право, уголовный процесс и криминалистика»).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Калиновский Константин Борисович, кандидат юридических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давать квалифицированные юридические консультации в конкретных сферах юридической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Знает специфику и методику осуществления консультирования в конкретных сферах юридической деятельности;</w:t>
            </w:r>
          </w:p>
          <w:p/>
          <w:p>
            <w:pPr/>
            <w:r>
              <w:rPr/>
              <w:t xml:space="preserve">ПК-4.2. Дает квалифицированные  консультации в конкретных сферах юридической деятельности;</w:t>
            </w:r>
          </w:p>
          <w:p/>
          <w:p>
            <w:pPr/>
            <w:r>
              <w:rPr/>
              <w:t xml:space="preserve">ПК-4.3. Владеет навыками правового консультирования в конкретных сферах юридической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ПК-9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квалификацию фактов, событий и обстоятельств по уголовным делам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ПК-9.1. Знает правила осуществления квалификации фактов и обстоятельств по уголовным делам;</w:t>
            </w:r>
          </w:p>
          <w:p/>
          <w:p>
            <w:pPr/>
            <w:r>
              <w:rPr/>
              <w:t xml:space="preserve">ПК-9.2. Осуществляет квалификацию фактов, событий и обстоятельств по уголовным делам;</w:t>
            </w:r>
          </w:p>
          <w:p/>
          <w:p>
            <w:pPr/>
            <w:r>
              <w:rPr/>
              <w:t xml:space="preserve">ПК-9.3. Владеет навыками квалификации фактов, событий и обстоятельств по уголовным делам.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Изучение судебной практики по уголовным делам и составление процессуальных документов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судебной практики по уголовным делам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Составление процессуальных документов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судебной практики в части нарушений норм УПК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судебной практики по делам о коррупционных преступлениях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Практикум по составлению проектов процессуальных документов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судебной практики по уголовным делам с использованием ГАС &amp;quot;Правосудие&amp;quot;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проектов процессуальных документов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(зачет)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Метод проектов.</w:t>
      </w:r>
    </w:p>
    <w:p>
      <w:pPr/>
      <w:r>
        <w:rPr/>
        <w:t xml:space="preserve">Проблемное обучение.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проект; творческое задание.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Проект</w:t>
      </w:r>
    </w:p>
    <w:p>
      <w:pPr/>
      <w:r>
        <w:rPr>
          <w:rFonts w:ascii="'Arial'" w:hAnsi="'Arial'" w:eastAsia="'Arial'" w:cs="'Arial'"/>
          <w:color w:val="000000"/>
          <w:sz w:val="24"/>
          <w:szCs w:val="24"/>
          <w:b w:val="0"/>
          <w:bCs w:val="0"/>
          <w:i w:val="0"/>
          <w:iCs w:val="0"/>
          <w:smallCaps w:val="0"/>
          <w:spacing w:val="0"/>
          <w:shd w:val="clear" w:fill="ffffff"/>
        </w:rPr>
        <w:t xml:space="preserve">Приговор, постановление, определение судьи по фабуле индивидуально выданной преподавателем</w:t>
      </w:r>
    </w:p>
    <w:p/>
    <w:p>
      <w:pPr/>
      <w:r>
        <w:rPr/>
        <w:t xml:space="preserve">Творческое задание</w:t>
      </w:r>
    </w:p>
    <w:p>
      <w:pPr/>
      <w:r>
        <w:rPr>
          <w:rFonts w:ascii="'Arial'" w:hAnsi="'Arial'" w:eastAsia="'Arial'" w:cs="'Arial'"/>
          <w:color w:val="000000"/>
          <w:sz w:val="24"/>
          <w:szCs w:val="24"/>
          <w:b w:val="0"/>
          <w:bCs w:val="0"/>
          <w:i w:val="0"/>
          <w:iCs w:val="0"/>
          <w:smallCaps w:val="0"/>
          <w:spacing w:val="0"/>
          <w:shd w:val="clear" w:fill="ffffff"/>
        </w:rPr>
        <w:t xml:space="preserve">Составление аналитического обзора по группе приговоров из системы ГАС "Правосудие" по тематике магистерской диссертации.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Самостоятельная работа студентов – это процесс активного, целенаправленного приобретения студентом новых знаний, умений без непосредственного участия преподавателя, характеризующийся предметной направленностью, эффективным контролем и оценкой результатов деятельности обучающегося.</w:t>
      </w:r>
    </w:p>
    <w:p>
      <w:pPr/>
      <w:r>
        <w:rPr/>
        <w:t xml:space="preserve">Цели самостоятельной работы:</w:t>
      </w:r>
    </w:p>
    <w:p>
      <w:pPr>
        <w:numPr>
          <w:ilvl w:val="0"/>
          <w:numId w:val="1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систематизация и закрепление полученных теоретических знаний и практических умений студентов;</w:t>
      </w:r>
    </w:p>
    <w:p>
      <w:pPr>
        <w:numPr>
          <w:ilvl w:val="0"/>
          <w:numId w:val="1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углубление и расширение теоретических знаний;</w:t>
      </w:r>
    </w:p>
    <w:p>
      <w:pPr>
        <w:numPr>
          <w:ilvl w:val="0"/>
          <w:numId w:val="1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формирование умений использовать нормативную и справочную документацию, специальную литературу;</w:t>
      </w:r>
    </w:p>
    <w:p>
      <w:pPr>
        <w:numPr>
          <w:ilvl w:val="0"/>
          <w:numId w:val="1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развитие познавательных способностей, активности студентов, ответственности и организованности;</w:t>
      </w:r>
    </w:p>
    <w:p>
      <w:pPr>
        <w:numPr>
          <w:ilvl w:val="0"/>
          <w:numId w:val="1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формирование самостоятельности мышления, творческой инициативы, способностей к саморазвитию, самосовершенствованию и самореализации;</w:t>
      </w:r>
    </w:p>
    <w:p>
      <w:pPr>
        <w:numPr>
          <w:ilvl w:val="0"/>
          <w:numId w:val="1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развитие исследовательских умений и академических навыков.</w:t>
      </w:r>
    </w:p>
    <w:p>
      <w:pPr/>
      <w:r>
        <w:rPr/>
        <w:t xml:space="preserve">Самостоятельная работа может осуществляться индивидуально или группами студентов в зависимости от цели, объема, уровня сложности, конкретной тематики.</w:t>
      </w:r>
    </w:p>
    <w:p>
      <w:pPr/>
      <w:r>
        <w:rPr/>
        <w:t xml:space="preserve">Технология организации самостоятельной работы студентов включает использование информационных и материально-технических ресурсов образовательного учреждения.</w:t>
      </w:r>
    </w:p>
    <w:p>
      <w:pPr/>
      <w:r>
        <w:rPr/>
        <w:t xml:space="preserve">Перед выполнением обучающимися внеаудиторной самостоятельной работы преподаватель может проводить инструктаж по выполнению задания. В инструктаж включается:</w:t>
      </w:r>
    </w:p>
    <w:p>
      <w:pPr>
        <w:numPr>
          <w:ilvl w:val="0"/>
          <w:numId w:val="2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цель и содержание задания;</w:t>
      </w:r>
    </w:p>
    <w:p>
      <w:pPr>
        <w:numPr>
          <w:ilvl w:val="0"/>
          <w:numId w:val="2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сроки выполнения;</w:t>
      </w:r>
    </w:p>
    <w:p>
      <w:pPr>
        <w:numPr>
          <w:ilvl w:val="0"/>
          <w:numId w:val="2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ориентировочный объем работы;</w:t>
      </w:r>
    </w:p>
    <w:p>
      <w:pPr>
        <w:numPr>
          <w:ilvl w:val="0"/>
          <w:numId w:val="2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основные требования к результатам работы и критерии оценки;</w:t>
      </w:r>
    </w:p>
    <w:p>
      <w:pPr>
        <w:numPr>
          <w:ilvl w:val="0"/>
          <w:numId w:val="2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возможные типичные ошибки при выполнении.</w:t>
      </w:r>
    </w:p>
    <w:p>
      <w:pPr/>
      <w:r>
        <w:rPr/>
        <w:t xml:space="preserve">Инструктаж проводится преподавателем за счет объема времени, отведенного на изучение дисциплины.</w:t>
      </w:r>
    </w:p>
    <w:p>
      <w:pPr/>
      <w:r>
        <w:rPr/>
        <w:t xml:space="preserve">Контроль результатов внеаудиторной самостоятельной работы студентов может проходить в письменной, устной или смешанной форме.</w:t>
      </w:r>
    </w:p>
    <w:p>
      <w:pPr/>
      <w:r>
        <w:rPr/>
        <w:t xml:space="preserve">Студенты должны подходить к самостоятельной работе как к наиважнейшему средству закрепления и развития теоретических знаний, выработке единства взглядов на отдельные вопросы курса, приобретения определенных навыков и использования профессиональной литературы.</w:t>
      </w:r>
    </w:p>
    <w:p>
      <w:pPr/>
      <w:r>
        <w:rPr/>
        <w:t xml:space="preserve">Помещения для самостоятельной работы обучающихся должны быть оснащены компьютерной техникой с возможностью подключения к сети «Интернет» и обеспечением доступа в электронную информационно-образовательную среду организации.</w:t>
      </w:r>
    </w:p>
    <w:p>
      <w:pPr/>
      <w:r>
        <w:rPr/>
        <w:t xml:space="preserve">При самостоятельной проработке курса обучающиеся должны:</w:t>
      </w:r>
    </w:p>
    <w:p>
      <w:pPr>
        <w:numPr>
          <w:ilvl w:val="0"/>
          <w:numId w:val="3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просматривать основные определения и факты;</w:t>
      </w:r>
    </w:p>
    <w:p>
      <w:pPr>
        <w:numPr>
          <w:ilvl w:val="0"/>
          <w:numId w:val="3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повторить законспектированный на лекционном занятии материал и дополнить его с учетом рекомендованной по данной теме литературы;</w:t>
      </w:r>
    </w:p>
    <w:p>
      <w:pPr>
        <w:numPr>
          <w:ilvl w:val="0"/>
          <w:numId w:val="3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изучить рекомендованную литературу, составлять тезисы, аннотации и конспекты наиболее важных моментов;</w:t>
      </w:r>
    </w:p>
    <w:p>
      <w:pPr>
        <w:numPr>
          <w:ilvl w:val="0"/>
          <w:numId w:val="3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самостоятельно выполнять задания, аналогичные предлагаемым на занятиях;</w:t>
      </w:r>
    </w:p>
    <w:p>
      <w:pPr>
        <w:numPr>
          <w:ilvl w:val="0"/>
          <w:numId w:val="3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использовать для самопроверки материалы фонда оценочных средств;</w:t>
      </w:r>
    </w:p>
    <w:p>
      <w:pPr>
        <w:numPr>
          <w:ilvl w:val="0"/>
          <w:numId w:val="3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выполнять домашние задания по указанию преподавателя.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Практические занятия представляют собой детализацию лекционного теоретического материала, проводятся в целях закрепления курса и охватывают все основные разделы.</w:t>
      </w:r>
    </w:p>
    <w:p>
      <w:pPr/>
      <w:r>
        <w:rPr/>
        <w:t xml:space="preserve">Основной формой проведения занятий является обсуждение наиболее проблемных и сложных вопросов по отдельным темам, а также решение задач и разбор примеров и ситуаций в аудиторных условиях. В обязанности преподавателя входят: оказание методической помощи и консультирование студентов по соответствующим темам курса.</w:t>
      </w:r>
    </w:p>
    <w:p>
      <w:pPr/>
      <w:r>
        <w:rPr/>
        <w:t xml:space="preserve">Активность на занятиях оценивается по следующим критериям:</w:t>
      </w:r>
    </w:p>
    <w:p>
      <w:pPr>
        <w:numPr>
          <w:ilvl w:val="0"/>
          <w:numId w:val="4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ответы на вопросы, предлагаемые преподавателем;</w:t>
      </w:r>
    </w:p>
    <w:p>
      <w:pPr>
        <w:numPr>
          <w:ilvl w:val="0"/>
          <w:numId w:val="4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участие в дискуссиях;</w:t>
      </w:r>
    </w:p>
    <w:p>
      <w:pPr>
        <w:numPr>
          <w:ilvl w:val="0"/>
          <w:numId w:val="4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выполнение проектных и иных заданий.</w:t>
      </w:r>
    </w:p>
    <w:p>
      <w:pPr/>
      <w:r>
        <w:rPr/>
        <w:t xml:space="preserve">Ответ должен быть аргументированным, развернутым, не односложным, содержать ссылки на источники.</w:t>
      </w:r>
    </w:p>
    <w:p>
      <w:pPr/>
      <w:r>
        <w:rPr/>
        <w:t xml:space="preserve">Ответы и оппонирование ответов проверяют степень владения теоретическим материалом, а также корректность и строгость рассуждений.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 Уголовно-процессуальные акты : учебное пособие для вузов / Г. В. Стародубова [и др.] ; под редакцией Г. В. Стародубовой. — 3-е изд. — Москва : Издательство Юрайт, 2023. — 477 с. — (Высшее образование). — ISBN 978-5-534-12783-6. — Текст : электронный // Образовательная платформа Юрайт [сайт]. — URL: https://urait.ru/bcode/515411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  <w:shd w:val="clear" w:fill="ffffff"/>
        </w:rPr>
        <w:t xml:space="preserve">Образцы процессуальных документов. Судебное производство / В. А. Давыдов, Н. А. Колоколов, А. Н. Разинкина, Р. В. Ярцев ; под общей редакцией В. А. Давыдова. — 2-е изд., перераб. и доп. — Москва : Издательство Юрайт, 2019. — 440 с. — (Профессиональная практика). — ISBN 978-5-534-03312-0. — Текст : электронный // ЭБС Юрайт [сайт]. — URL: </w:t>
      </w:r>
      <w:hyperlink r:id="rId7" w:history="1">
        <w:r>
          <w:rPr>
            <w:rFonts w:ascii="&amp;quot" w:hAnsi="&amp;quot" w:eastAsia="&amp;quot" w:cs="&amp;quot"/>
            <w:color w:val="f18b00"/>
            <w:sz w:val="21"/>
            <w:szCs w:val="21"/>
            <w:b w:val="0"/>
            <w:bCs w:val="0"/>
            <w:i w:val="0"/>
            <w:iCs w:val="0"/>
            <w:smallCaps w:val="0"/>
            <w:u w:val="single"/>
            <w:spacing w:val="0"/>
            <w:shd w:val="clear" w:fill="transparent"/>
          </w:rPr>
          <w:t xml:space="preserve">https://biblio-online.ru/bcode/431734</w:t>
        </w:r>
      </w:hyperlink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  <w:shd w:val="clear" w:fill="ffffff"/>
        </w:rPr>
        <w:t xml:space="preserve"> 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Государственная автоматизированная система РФ "Правосудие" - </w:t>
      </w:r>
      <w:hyperlink r:id="rId8" w:history="1">
        <w:r>
          <w:rPr/>
          <w:t xml:space="preserve">https://sudrf.ru/</w:t>
        </w:r>
      </w:hyperlink>
    </w:p>
    <w:p>
      <w:pPr/>
      <w:r>
        <w:rPr>
          <w:shd w:val="clear" w:fill="ffffff"/>
        </w:rPr>
        <w:t xml:space="preserve">Верховный Суд РФ - </w:t>
      </w:r>
      <w:hyperlink r:id="rId9" w:history="1">
        <w:r>
          <w:rPr/>
          <w:t xml:space="preserve">https://www.vsrf.ru/</w:t>
        </w:r>
      </w:hyperlink>
    </w:p>
    <w:p>
      <w:pPr/>
      <w:r>
        <w:rPr>
          <w:shd w:val="clear" w:fill="ffffff"/>
        </w:rPr>
        <w:t xml:space="preserve">Конституционный Суд РФ - www.ksrf.ru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6DD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181D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36B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40DF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D9187C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-online.ru/bcode/431734" TargetMode="External"/><Relationship Id="rId8" Type="http://schemas.openxmlformats.org/officeDocument/2006/relationships/hyperlink" Target="https://sudrf.ru/" TargetMode="External"/><Relationship Id="rId9" Type="http://schemas.openxmlformats.org/officeDocument/2006/relationships/hyperlink" Target="https://www.vsrf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2026-04-23T12:00:10+03:00</dcterms:created>
  <dcterms:modified xsi:type="dcterms:W3CDTF">2026-04-23T12:00:10+03:00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