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ведущий научный сотрудник, Научно-исследовательский центр криминологического мониторинга; и.о. заведующего кафедрой,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Практика по получению профессиональных умений и опыта профессиональной деятельности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Приобретение, формирование и совершенствование практических навыков в выполнении профессиональных обязанностей;</w:t>
      </w:r>
    </w:p>
    <w:p>
      <w:pPr>
        <w:numPr>
          <w:ilvl w:val="0"/>
          <w:numId w:val="1"/>
        </w:numPr>
      </w:pPr>
      <w:r>
        <w:rPr/>
        <w:t xml:space="preserve">Углубление и закрепление теоретических и практических знаний, полученных магистрантами при освоении учебных дисциплин;</w:t>
      </w:r>
    </w:p>
    <w:p>
      <w:pPr>
        <w:numPr>
          <w:ilvl w:val="0"/>
          <w:numId w:val="1"/>
        </w:numPr>
      </w:pPr>
      <w:r>
        <w:rPr/>
        <w:t xml:space="preserve">Формирование компетенций обучающихся в процессе выполнения определенных видов работ, связанных с будущей профессиональной деятельностью (правоприменительной, правозащитной деятельности и юридического обслуживания граждан и организаций).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Общее ознакомление с деятельностью, организационно-правовой формой организации (ведомства);</w:t>
      </w:r>
    </w:p>
    <w:p>
      <w:pPr>
        <w:numPr>
          <w:ilvl w:val="0"/>
          <w:numId w:val="2"/>
        </w:numPr>
      </w:pPr>
      <w:r>
        <w:rPr/>
        <w:t xml:space="preserve">Изучение организационной структуры организации (ведомства) и функций отдельных подразделений;</w:t>
      </w:r>
    </w:p>
    <w:p>
      <w:pPr>
        <w:numPr>
          <w:ilvl w:val="0"/>
          <w:numId w:val="2"/>
        </w:numPr>
      </w:pPr>
      <w:r>
        <w:rPr/>
        <w:t xml:space="preserve">Изучение работы, функций и должностных обязанностей персонала;</w:t>
      </w:r>
    </w:p>
    <w:p>
      <w:pPr>
        <w:numPr>
          <w:ilvl w:val="0"/>
          <w:numId w:val="2"/>
        </w:numPr>
      </w:pPr>
      <w:r>
        <w:rPr/>
        <w:t xml:space="preserve">Изучение законодательных актов, регулирующих деятельность организации (ведомства);</w:t>
      </w:r>
    </w:p>
    <w:p>
      <w:pPr>
        <w:numPr>
          <w:ilvl w:val="0"/>
          <w:numId w:val="2"/>
        </w:numPr>
      </w:pPr>
      <w:r>
        <w:rPr/>
        <w:t xml:space="preserve">Изучение нормативных документов по вопросам управления в организации (ведомстве);</w:t>
      </w:r>
    </w:p>
    <w:p>
      <w:pPr>
        <w:numPr>
          <w:ilvl w:val="0"/>
          <w:numId w:val="2"/>
        </w:numPr>
      </w:pPr>
      <w:r>
        <w:rPr/>
        <w:t xml:space="preserve">Закрепление и расширение теоретических знаний и практических навыков применительно к профилю будущей работы, сбор материалов для написания выпускной квалификационной работы (магистерской диссертации);</w:t>
      </w:r>
    </w:p>
    <w:p>
      <w:pPr>
        <w:numPr>
          <w:ilvl w:val="0"/>
          <w:numId w:val="2"/>
        </w:numPr>
      </w:pPr>
      <w:r>
        <w:rPr/>
        <w:t xml:space="preserve">Выработка навыков самостоятельного анализа результатов работы;</w:t>
      </w:r>
    </w:p>
    <w:p>
      <w:pPr>
        <w:numPr>
          <w:ilvl w:val="0"/>
          <w:numId w:val="2"/>
        </w:numPr>
      </w:pPr>
      <w:r>
        <w:rPr/>
        <w:t xml:space="preserve">Получение представления о проблематике профессиональной деятельности в принимающей организации;</w:t>
      </w:r>
    </w:p>
    <w:p>
      <w:pPr>
        <w:numPr>
          <w:ilvl w:val="0"/>
          <w:numId w:val="2"/>
        </w:numPr>
      </w:pPr>
      <w:r>
        <w:rPr/>
        <w:t xml:space="preserve">Развитие навыков делового профессионального общения с соблюдением требований делового этикета и профессиональной этики.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 Петрозаводске.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органы предварительного расследования: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 и др.;</w:t>
      </w:r>
    </w:p>
    <w:p>
      <w:pPr>
        <w:numPr>
          <w:ilvl w:val="0"/>
          <w:numId w:val="3"/>
        </w:numPr>
      </w:pPr>
      <w:r>
        <w:rPr/>
        <w:t xml:space="preserve">иные организации и ведомства по согласованию с научным руководителем и дирекцией института.</w:t>
      </w:r>
    </w:p>
    <w:p>
      <w:pPr/>
      <w:r>
        <w:rPr/>
        <w:t xml:space="preserve">Выездная практика проводится вне г. Петрозаводска. Возможные места ее проведения: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регионах РФ;</w:t>
      </w:r>
    </w:p>
    <w:p>
      <w:pPr>
        <w:numPr>
          <w:ilvl w:val="0"/>
          <w:numId w:val="4"/>
        </w:numPr>
      </w:pPr>
      <w:r>
        <w:rPr/>
        <w:t xml:space="preserve">органы предварительного расследования в районах и городах Республики Карелия, а также других регионах РФ;</w:t>
      </w:r>
    </w:p>
    <w:p>
      <w:pPr>
        <w:numPr>
          <w:ilvl w:val="0"/>
          <w:numId w:val="4"/>
        </w:numPr>
      </w:pPr>
      <w:r>
        <w:rPr/>
        <w:t xml:space="preserve">иные организации и ведомства по согласованию с научным руководителем и дирекцией института.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
УК-1.2. Определяет пробелы в информации, необходимой для решения проблемной ситуации, и проектирует процессы по их устранению.
УК-1.3. Критически оценивает надежность источников информации, работает с противоречивой информацией из разных источников.
УК-1.4. Разрабатывает и содержательно аргументирует стратегию решения проблемной ситуации на основе системного и междисциплинарных подходов.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
УК-2.2. Определение потребности в ресурсах для реализации проекта.
УК-2.3. Разработка плана реализации проекта.
УК-2.4. Контроль реализации проекта.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Разработка целей команды в соответствии с целями проекта (организации)
УК-3.2. Формирование состава команды, определение функциональных и ролевых критериев отбора участников
УК-3.3. Разработка и корректировка плана работы команды
УК-3.4. Выбор правил командной работы как основы межличностного взаимодействия
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
УК-3.6. Выбор стиля управления работой команды в соответствии с ситуацией
УК-3.7. Презентация результатов собственной и командной деятельности
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
УК-4.2. Использование информационно-коммуникационных технологий для поиска, обработки и представления информации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
УК-4.4. Выбор психологических способов оказания влияния и противодействия влиянию в процессе академического и профессионального взаимодействия
УК-4.5. Представление результатов академической и профессиональной деятельности на публичных мероприятиях
УК-4.6. Ведение академической и профессиональной дискуссии на государственном языке РФ и/или иностранном языке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
УК-5.2. Выбор способов интеграции работников, принадлежащих к разным культурам, в производственную команду
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
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
УК-6.2. Определение приоритетов собственной деятельности, личностного развития и профессионального роста
УК-6.3. Выбор технологий целеполагания и целедостижения для постановки целей личностного развития и профессионального роста
УК-6.4. Оценка собственных (личностных, ситуативных, временных) ресурсов, выбор способов преодоления личностных ограничений на пути достижения целей
УК-6.5. Оценка требований рынка труда и образовательных услуг для выстраивания траектории собственного профессионального роста
УК-6.6. Оценка собственного ресурсного состояния, выбор средств коррекции ресурсного состояния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нестандартные ситуации правоприменительной практики и предлагать оптимальные варианты их решения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и специальные понятия и закономерности формирования, функционирования и развития права;
ОПК-1.2. Анализирует нестандартные ситуации правоприменительной практики и предлагает оптимальные варианты их решения;
ОПК-1.3. Владеет практическими навыками анализа нестандартных ситуаций правоприменительной практики и по выработке оптимальных вариантов их решения.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специфику законодательного процесса, особенности основных этапов законодательного процесса и подготовки их результатов;
ОПК-2.2. Осуществляет самостоятельную подготовку экспертных юридических заключений и проводит экспертизу нормативных (индивидуальных) правовых актов;
ОПК-2.3. Владеет навыками подготовки экспертных юридических заключений и проведения экспертиз нормативных (индивидуальных) 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толковать правовые акты, в том числе в ситуациях наличия пробелов и коллизий норм прав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сущность и специфику всех способов и методов толкования правовых актов, способы устранения пробелов и коллизий в праве;
ОПК-3.2. Осуществляет квалифицированное толкование правовых актов;
ОПК-3.3. Владеет навыками квалифицированного толкования правовых актов с учетов их особенностей и специфики.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содержание основных и специфических юридических понятий, терминов и определений;
ОПК-4.2. Умеет письменно и устно  аргументировать правовую позицию по делу, в том числе с учетом принципа состязательности судопроизводства;
ОПК-4.3. Владеет навыками профессиональной аргументации при оценке и обосновании принимаемых решений по делу;
ОПК-4.4. Владеет навыками составления юридических документов по делу;
ОПК-4.5. Обладает навыками публичных выступлений с аргументацией позиции для профессионального ведения полемики в судебном процессе.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составлять юридические документы и разрабатывать проекты нормативных (индивидуальных) правовых актов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базовые и специфические правила составления юридических документов, виды  нормативно-правовых актов, виды правотворчества;
ОПК-5.2. Самостоятельно составляет юридические документы и разрабатывает проекты нормативных (индивидуальных) правовых актов;
ОПК-5.3. Владеет навыками составления юридических документов и разработки проектов нормативных (индивидуальных) правовых актов в соответствии с профилем своей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соблюдение принципов этики юриста, в том числе принимать меры по профилактике коррупции и пресечению коррупционных (иных) правонарушений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специфику этических норм в профессиональной юридической деятельности;
ОПК-6.2. Обеспечивает соблюдение принципов этики в конкретных видах юридической деятельности, в том числе принимает меры по профилактике коррупции и пресечению коррупционных (иных) правонарушений;
ОПК-6.4. Владеет системными навыками в обеспечении соблюдения принципов этики юриста, в том числе в принятии мер по профилактике коррупции и пресечению коррупционных (иных) правонарушений.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информационные технологии и использовать правовые базы данных для решения задач профессиональной деятельности с учетом требований информационной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основные информационные технологии и правовые базы для решения задач в различных сферах юридической деятельности;
ОПК-7.2. Применяет информационные технологии и использует правовые базы данных для решения задач профессиональной деятельности с учетом требований информационной безопасности;
ОПК-7.3. Владеет навыками информационного обслуживания и обработки данных для решения задач профессиональной деятельности с учетом требований информационной безопасности.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
ПК-7.2. Умеет правильно проводить и оформлять  результаты научных исследований в различных отраслях права;
ПК-7.3. Владеет навыками квалифицированно проводить научные исследования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
ПК-2.2. Применяет нормативные правовые акты в конкретных сферах юридической деятельности;
ПК-2.3. Реализует нормы материального и процессуального права в профессиональной деятельности;
ПК-2.4. Владеет навыками квалифицированного применения нормативных правовых актов в конкретных сферах юридической деятельности;
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"Производственная практика"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12 зач. ед.</w:t>
      </w:r>
      <w:br/>
      <w:r>
        <w:rPr/>
        <w:t xml:space="preserve">Продолжительность практики 8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по вопросам программы и получения методических указаний по прохождению производственной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производственной практики, подготовка к публичной защите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производственной практики могут быть применены следующие образовательные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схем;</w:t>
      </w:r>
    </w:p>
    <w:p>
      <w:pPr>
        <w:numPr>
          <w:ilvl w:val="0"/>
          <w:numId w:val="5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6"/>
        </w:numPr>
      </w:pPr>
      <w:r>
        <w:rPr/>
        <w:t xml:space="preserve">подготовка обзора нормативно-правовых актов и научной литературы,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7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производственной практики необходимо предоставить:</w:t>
      </w:r>
    </w:p>
    <w:p>
      <w:pPr>
        <w:numPr>
          <w:ilvl w:val="0"/>
          <w:numId w:val="8"/>
        </w:numPr>
      </w:pPr>
      <w:r>
        <w:rPr/>
        <w:t xml:space="preserve">Отчет о прохождении практики по установленной форме: титульный лист, текст отчета (начинается со следующей страницы и пишется от первого лица), приложения (если имеются).</w:t>
      </w:r>
    </w:p>
    <w:p>
      <w:pPr/>
      <w:r>
        <w:rPr/>
        <w:t xml:space="preserve">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9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9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10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10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/>
        <w:t xml:space="preserve">В каждом ведомстве/организации собственная программа прохождения производственной практики.</w:t>
      </w:r>
    </w:p>
    <w:p>
      <w:pPr/>
      <w:r>
        <w:rPr>
          <w:b w:val="1"/>
          <w:bCs w:val="1"/>
          <w:u w:val="single"/>
        </w:rPr>
        <w:t xml:space="preserve">Пример программы производственной практики в судах:</w:t>
      </w:r>
    </w:p>
    <w:p>
      <w:pPr/>
      <w:r>
        <w:rPr/>
        <w:t xml:space="preserve">Практика в суде начинается с изучения положений нормативных правовых актов, регулирующих функционирование судебной системы РФ (ФКЗ «О судебной системе РФ», ФКЗ «О судах общей юрисдикции», ФКЗ «Об арбитражных судах в РФ» и другие).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1"/>
        </w:numPr>
      </w:pPr>
      <w:r>
        <w:rPr/>
        <w:t xml:space="preserve">содержанием инструкции по делопроизводству;</w:t>
      </w:r>
    </w:p>
    <w:p>
      <w:pPr>
        <w:numPr>
          <w:ilvl w:val="0"/>
          <w:numId w:val="11"/>
        </w:numPr>
      </w:pPr>
      <w:r>
        <w:rPr/>
        <w:t xml:space="preserve">распределением обязанностей между работниками канцелярии;</w:t>
      </w:r>
    </w:p>
    <w:p>
      <w:pPr>
        <w:numPr>
          <w:ilvl w:val="0"/>
          <w:numId w:val="11"/>
        </w:numPr>
      </w:pPr>
      <w:r>
        <w:rPr/>
        <w:t xml:space="preserve">организацией приема граждан;</w:t>
      </w:r>
    </w:p>
    <w:p>
      <w:pPr>
        <w:numPr>
          <w:ilvl w:val="0"/>
          <w:numId w:val="11"/>
        </w:numPr>
      </w:pPr>
      <w:r>
        <w:rPr/>
        <w:t xml:space="preserve">приемом и отправкой корреспонденции;</w:t>
      </w:r>
    </w:p>
    <w:p>
      <w:pPr>
        <w:numPr>
          <w:ilvl w:val="0"/>
          <w:numId w:val="11"/>
        </w:numPr>
      </w:pPr>
      <w:r>
        <w:rPr/>
        <w:t xml:space="preserve">приемом и учетом кассационных жалоб и протестов;</w:t>
      </w:r>
    </w:p>
    <w:p>
      <w:pPr>
        <w:numPr>
          <w:ilvl w:val="0"/>
          <w:numId w:val="11"/>
        </w:numPr>
      </w:pPr>
      <w:r>
        <w:rPr/>
        <w:t xml:space="preserve">порядком извещения и вызова в суд лиц, участвующих в рассмотрении дел.</w:t>
      </w:r>
    </w:p>
    <w:p>
      <w:pPr/>
      <w:r>
        <w:rPr/>
        <w:t xml:space="preserve">Обучающиеся знакомятся с организацией работы:</w:t>
      </w:r>
    </w:p>
    <w:p>
      <w:pPr>
        <w:numPr>
          <w:ilvl w:val="0"/>
          <w:numId w:val="12"/>
        </w:numPr>
      </w:pPr>
      <w:r>
        <w:rPr/>
        <w:t xml:space="preserve">секретаря судебного заседания и его обязанностями;</w:t>
      </w:r>
    </w:p>
    <w:p>
      <w:pPr>
        <w:numPr>
          <w:ilvl w:val="0"/>
          <w:numId w:val="12"/>
        </w:numPr>
      </w:pPr>
      <w:r>
        <w:rPr/>
        <w:t xml:space="preserve">помощника судьи и его обязанностями;</w:t>
      </w:r>
    </w:p>
    <w:p>
      <w:pPr>
        <w:numPr>
          <w:ilvl w:val="0"/>
          <w:numId w:val="12"/>
        </w:numPr>
      </w:pPr>
      <w:r>
        <w:rPr/>
        <w:t xml:space="preserve">судьи при проведении приема граждан, подготовкой, назначением дел к судебному разбирательству, а также уясняют основы взаимодействия с органами прокуратуры и МВД;</w:t>
      </w:r>
    </w:p>
    <w:p>
      <w:pPr>
        <w:numPr>
          <w:ilvl w:val="0"/>
          <w:numId w:val="12"/>
        </w:numPr>
      </w:pPr>
      <w:r>
        <w:rPr/>
        <w:t xml:space="preserve">изучают основы взаимодействия судов с Федеральной службой судебных приставов.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индивидуальные задания для проведения практики; дневник; отчет о прохождении практики.; характеристика..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Индивидуальные задания для проведения практики</w:t>
      </w:r>
    </w:p>
    <w:p>
      <w:pPr/>
      <w:r>
        <w:rPr>
          <w:b w:val="1"/>
          <w:bCs w:val="1"/>
        </w:rPr>
        <w:t xml:space="preserve">Перечень индивидуальных заданий для проведения практики:</w:t>
      </w:r>
    </w:p>
    <w:p>
      <w:pPr>
        <w:numPr>
          <w:ilvl w:val="0"/>
          <w:numId w:val="13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прокуратуры РФ, органов Следственного комитета РФ, законодательных и исполнительных органов государственной власти федерального и регионального уровней, органов местного самоуправления, налоговых органов, таможенных органов, органов адвокатуры и нотариата, кредитных и иных коммерческих организаций, некоммерческих общественных организаций.</w:t>
      </w:r>
    </w:p>
    <w:p>
      <w:pPr>
        <w:numPr>
          <w:ilvl w:val="0"/>
          <w:numId w:val="13"/>
        </w:numPr>
      </w:pPr>
      <w:r>
        <w:rPr/>
        <w:t xml:space="preserve">изучение и характеристика учредительных документов и правоприменительных актов органов и организаций,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применение нормативных правовых актов и реализация норм материального и процессуального права в профессиональной деятельности в органах и организациях,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подготовка квалифицированных юридических заключений и консультаций в конкретных видах юридической деятельности по поручению руководителя практики в органах и организациях,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изучение общего порядка и организации работы суда: работы канцелярии, порядка поступления и регистрации дел.</w:t>
      </w:r>
    </w:p>
    <w:p>
      <w:pPr>
        <w:numPr>
          <w:ilvl w:val="0"/>
          <w:numId w:val="13"/>
        </w:numPr>
      </w:pPr>
      <w:r>
        <w:rPr/>
        <w:t xml:space="preserve">изучение порядка назначения судебных заседаний, их процедуры и порядка исполнения вступившего в законную силу судебного решения.</w:t>
      </w:r>
    </w:p>
    <w:p>
      <w:pPr>
        <w:numPr>
          <w:ilvl w:val="0"/>
          <w:numId w:val="13"/>
        </w:numPr>
      </w:pPr>
      <w:r>
        <w:rPr/>
        <w:t xml:space="preserve">изучение рассмотрения и разрешения дел, применения судом норм материального и процессуального права, судебной практики по конкретным категориям дел в процессе посещения судебных заседаний по гражданским, административным, уголовным делам (не менее 11-ти заседаний).</w:t>
      </w:r>
    </w:p>
    <w:p>
      <w:pPr>
        <w:numPr>
          <w:ilvl w:val="0"/>
          <w:numId w:val="13"/>
        </w:numPr>
      </w:pPr>
      <w:r>
        <w:rPr/>
        <w:t xml:space="preserve">изучение нормативных документов МВД РФ по вопросам следственной работы и дознания.</w:t>
      </w:r>
    </w:p>
    <w:p>
      <w:pPr>
        <w:numPr>
          <w:ilvl w:val="0"/>
          <w:numId w:val="13"/>
        </w:numPr>
      </w:pPr>
      <w:r>
        <w:rPr/>
        <w:t xml:space="preserve">изучение методики и тактики производства следственных действий: осмотра места происшествия, вещественных доказательств, следственных экспериментов, обысков и др.</w:t>
      </w:r>
    </w:p>
    <w:p>
      <w:pPr>
        <w:numPr>
          <w:ilvl w:val="0"/>
          <w:numId w:val="13"/>
        </w:numPr>
      </w:pPr>
      <w:r>
        <w:rPr/>
        <w:t xml:space="preserve">изучение методики проведения проверки и порядка возбуждения и расследования уголовных дел в органах Следственного Комитета РФ.</w:t>
      </w:r>
    </w:p>
    <w:p>
      <w:pPr>
        <w:numPr>
          <w:ilvl w:val="0"/>
          <w:numId w:val="13"/>
        </w:numPr>
      </w:pPr>
      <w:r>
        <w:rPr/>
        <w:t xml:space="preserve">изучение форм и методов прокурорского надзора за исполнением законов и законностью правовых актов; за процессуальной деятельностью органов дознания и органов предварительного следствия.</w:t>
      </w:r>
    </w:p>
    <w:p>
      <w:pPr>
        <w:numPr>
          <w:ilvl w:val="0"/>
          <w:numId w:val="13"/>
        </w:numPr>
      </w:pPr>
      <w:r>
        <w:rPr/>
        <w:t xml:space="preserve">изучение деятельности прокурора по поддержанию государственного обвинения; по предъявлению исков и заявлений в защиту прав и законных интересов граждан, общества и государства и участию в рассмотрении гражданских и административных дел судом первой инстанции.</w:t>
      </w:r>
    </w:p>
    <w:p>
      <w:pPr>
        <w:numPr>
          <w:ilvl w:val="0"/>
          <w:numId w:val="13"/>
        </w:numPr>
      </w:pPr>
      <w:r>
        <w:rPr/>
        <w:t xml:space="preserve">изучение организации работы по участию прокурора в рассмотрении дел в судах, обязанностей и прав прокурора и методов осуществления прокурором своих полномочий в суде, присутствие при рассмотрении судебных дел с участием прокурора.</w:t>
      </w:r>
    </w:p>
    <w:p>
      <w:pPr>
        <w:numPr>
          <w:ilvl w:val="0"/>
          <w:numId w:val="13"/>
        </w:numPr>
      </w:pPr>
      <w:r>
        <w:rPr/>
        <w:t xml:space="preserve">изучение Положения о юридической клинике ПетрГУ, Правил работы в юридической клинике ПетрГУ, процедуры оказания юридической помощи гражданам: консультаций, разъяснений, подготовки процессуальных документов.</w:t>
      </w:r>
    </w:p>
    <w:p>
      <w:pPr>
        <w:numPr>
          <w:ilvl w:val="0"/>
          <w:numId w:val="13"/>
        </w:numPr>
      </w:pPr>
      <w:r>
        <w:rPr/>
        <w:t xml:space="preserve">изучение организации делопроизводства и участие в осуществлении  делопроизводства в судах, органах СК РФ, в органах следствия МВД РФ, в органах прокуратуры и в других органах и организациях,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работа с документами, составляющими текущий документооборот суда, органов прокуратуры, органов МВД РФ, органов СК РФ и других органов и организаций,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подготовка проектов процессуальных документов гражданского, уголовного и административного судопроизводства: повесток в суд, исковых заявлений, обращений и др. под руководством судьи (помощника судьи).</w:t>
      </w:r>
    </w:p>
    <w:p>
      <w:pPr>
        <w:numPr>
          <w:ilvl w:val="0"/>
          <w:numId w:val="13"/>
        </w:numPr>
      </w:pPr>
      <w:r>
        <w:rPr/>
        <w:t xml:space="preserve">составление проекта  решения, постановления или определения суда под руководством судьи (помощника судьи).</w:t>
      </w:r>
    </w:p>
    <w:p>
      <w:pPr>
        <w:numPr>
          <w:ilvl w:val="0"/>
          <w:numId w:val="13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 и руководителей практики в других органах и организациях, являющихся местами проведения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практики.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4"/>
        </w:numPr>
      </w:pPr>
      <w:r>
        <w:rPr/>
        <w:t xml:space="preserve">объем – не менее 4-х стр. А4 основного текста + Приложения 3-5 стр. А4;</w:t>
      </w:r>
    </w:p>
    <w:p>
      <w:pPr>
        <w:numPr>
          <w:ilvl w:val="0"/>
          <w:numId w:val="14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4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</w:t>
      </w:r>
    </w:p>
    <w:p>
      <w:pPr>
        <w:numPr>
          <w:ilvl w:val="0"/>
          <w:numId w:val="15"/>
        </w:numPr>
      </w:pPr>
      <w:r>
        <w:rPr/>
        <w:t xml:space="preserve">Каковы назначение и цели деятельности, организации (учреждения), в которой обучающийся проходил практику?</w:t>
      </w:r>
    </w:p>
    <w:p>
      <w:pPr>
        <w:numPr>
          <w:ilvl w:val="0"/>
          <w:numId w:val="15"/>
        </w:numPr>
      </w:pPr>
      <w:r>
        <w:rPr/>
        <w:t xml:space="preserve">Каково место организации в системе органов государственной власти, государственного управления и (или) правосудия?</w:t>
      </w:r>
    </w:p>
    <w:p>
      <w:pPr>
        <w:numPr>
          <w:ilvl w:val="0"/>
          <w:numId w:val="15"/>
        </w:numPr>
      </w:pPr>
      <w:r>
        <w:rPr/>
        <w:t xml:space="preserve">Какова организационная структура организации (учреждения), в которой обучающийся проходил учебную практику?</w:t>
      </w:r>
    </w:p>
    <w:p>
      <w:pPr>
        <w:numPr>
          <w:ilvl w:val="0"/>
          <w:numId w:val="15"/>
        </w:numPr>
      </w:pPr>
      <w:r>
        <w:rPr/>
        <w:t xml:space="preserve">На основании каких учредительных документов функционирует данная организация (учреждение)?</w:t>
      </w:r>
    </w:p>
    <w:p>
      <w:pPr>
        <w:numPr>
          <w:ilvl w:val="0"/>
          <w:numId w:val="15"/>
        </w:numPr>
      </w:pPr>
      <w:r>
        <w:rPr/>
        <w:t xml:space="preserve">Какими основными нормативными правовыми актами руководствуется в своей деятельности данная организация (учреждение)?</w:t>
      </w:r>
    </w:p>
    <w:p>
      <w:pPr>
        <w:numPr>
          <w:ilvl w:val="0"/>
          <w:numId w:val="15"/>
        </w:numPr>
      </w:pPr>
      <w:r>
        <w:rPr/>
        <w:t xml:space="preserve">Каковы полномочия организации в соответствии с регулирующими ее деятельность управомочивающими нормативными правовыми актами?</w:t>
      </w:r>
    </w:p>
    <w:p>
      <w:pPr>
        <w:numPr>
          <w:ilvl w:val="0"/>
          <w:numId w:val="15"/>
        </w:numPr>
      </w:pPr>
      <w:r>
        <w:rPr/>
        <w:t xml:space="preserve">Какие знания, умения и навыки были приобретены / развиты в результате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задания были выполнены в ходе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документы (проекты документов) были составлены в ходе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материалы для подготовки отчета были собраны в процессе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выводы (суждения, умозаключения) сделаны обучающимся по итогам прохождения производственной практики?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Характеристика.</w:t>
      </w:r>
    </w:p>
    <w:p>
      <w:pPr>
        <w:jc w:val="start"/>
      </w:pPr>
      <w:r>
        <w:rPr>
          <w:b w:val="1"/>
          <w:bCs w:val="1"/>
        </w:rPr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40.04.01 Юриспруденция, профиль - Уголовное право, уголовный процесс, криминалистика, Института экономики и права ФГБОУ ВО "Петрозаводский государственный университет "  ФИО обучающегося  полностью. Должно быть описание обучающегося как на титульном листе Отчета.</w:t>
      </w:r>
    </w:p>
    <w:p>
      <w:pPr/>
      <w:r>
        <w:rPr/>
        <w:t xml:space="preserve">Должно присутствовать название практики согласно учебному плану – Производственная.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называется нормативно-правовая база, которую изучили, виды юридической деятельности, которые прошли: посещение судебных заседаний, помощь в подготовке процессуальных документов, выполнение поручений помощника судьи ФИО, т.е.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конце текста Характеристики указывается рекомендуемая оценка за прохождение производственной практики.</w:t>
      </w:r>
    </w:p>
    <w:p>
      <w:pPr/>
      <w:r>
        <w:rPr/>
        <w:t xml:space="preserve">Характеристику подписывает руководитель структурного подразделения, в котором обучающийся проходил практику. В следственных органах МВД, СК это начальник подразделения, руководитель следственного отдела. В Прокуратуре это прокурор, в суде - это мировой судья судебного участка, в Петрозаводском городском суде - это руководитель коллегии административного судопроизводства, гражданского судопроизводства, уголовного судопроизводства.</w:t>
      </w:r>
    </w:p>
    <w:p>
      <w:pPr/>
      <w:r>
        <w:rPr/>
        <w:t xml:space="preserve">Характеристики должны быть заверены гербовой (либо простой) печатью учреждения. Она ставится на подпись руководителя.</w:t>
      </w:r>
    </w:p>
    <w:p>
      <w:pPr/>
      <w:r>
        <w:rPr/>
        <w:t xml:space="preserve">Должность: судья Петрозаводского городского суда   печатать слева     потом    место для подписи    потом на листе на этой же строчке справа  расшифровка подписи: ФИО судьи (Кузнецова И.А.). На подписи судьи печать.</w:t>
      </w:r>
    </w:p>
    <w:p>
      <w:pPr/>
      <w:r>
        <w:rPr/>
        <w:t xml:space="preserve">Объём Характеристики - 1-2 стр. формата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Результаты производственной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6"/>
        </w:numPr>
      </w:pPr>
      <w:r>
        <w:rPr/>
        <w:t xml:space="preserve">Зеленцов, А. Б.  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2022. — 311 с. — (Высшее образование). — ISBN 978-5-534-07148-1.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https://urait.ru/bcode/494249</w:t>
        </w:r>
      </w:hyperlink>
    </w:p>
    <w:p>
      <w:pPr>
        <w:numPr>
          <w:ilvl w:val="0"/>
          <w:numId w:val="16"/>
        </w:numPr>
      </w:pPr>
      <w:r>
        <w:rPr/>
        <w:t xml:space="preserve">Зеленцов, А. Б.  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2022. — 301 с. — (Высшее образование). — ISBN 978-5-534-07151-1.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https://urait.ru/bcode/494250</w:t>
        </w:r>
      </w:hyperlink>
    </w:p>
    <w:p>
      <w:pPr>
        <w:numPr>
          <w:ilvl w:val="0"/>
          <w:numId w:val="16"/>
        </w:numPr>
      </w:pPr>
      <w:r>
        <w:rPr/>
        <w:t xml:space="preserve">Уголовное право. Общая часть. В 2 т. Том 1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299 с. — (Высшее образование). — ISBN 978-5-534-12766-9.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https://urait.ru/bcode/470468</w:t>
        </w:r>
      </w:hyperlink>
    </w:p>
    <w:p>
      <w:pPr>
        <w:numPr>
          <w:ilvl w:val="0"/>
          <w:numId w:val="16"/>
        </w:numPr>
      </w:pPr>
      <w:r>
        <w:rPr/>
        <w:t xml:space="preserve">Уголовное право. Общая часть. В 2 т. Том 2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280 с. — (Высшее образование). — ISBN 978-5-534-12767-6.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https://urait.ru/bcode/470469</w:t>
        </w:r>
      </w:hyperlink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Правоохранительные органы : учебник и практикум для вузов / М. П. Поляков [и др.] ; под общей редакцией М. П. Полякова. — Москва : Издательство Юрайт, 2022. — 362 с. — (Высшее образование). — ISBN 978-5-9916-7897-1.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https://urait.ru/bcode/488358</w:t>
        </w:r>
      </w:hyperlink>
    </w:p>
    <w:p>
      <w:pPr>
        <w:numPr>
          <w:ilvl w:val="0"/>
          <w:numId w:val="16"/>
        </w:numPr>
      </w:pPr>
      <w:r>
        <w:rPr/>
        <w:t xml:space="preserve">Административное право России : учебник и практикум для вузов / А. И. Стахов [и др.] ; под редакцией А. И. Стахова, П. И. Кононова. — 3-е изд., перераб. и доп. — Москва : Издательство Юрайт, 2022. — 484 с. — (Высшее образование). — ISBN 978-5-534-13088-1.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https://urait.ru/bcode/498862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7"/>
        </w:numPr>
      </w:pPr>
      <w:r>
        <w:rPr/>
        <w:t xml:space="preserve">Гражданский процесс : учебник и практикум для вузов / М. Ю. Лебедев [и др.] ; под редакцией М. Ю. Лебедева. — 6-е изд., перераб. и доп. — Москва : Издательство Юрайт, 2022. — 430 с. — (Высшее образование). — ISBN 978-5-534-15529-7.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https://urait.ru/bcode/508093</w:t>
        </w:r>
      </w:hyperlink>
    </w:p>
    <w:p>
      <w:pPr>
        <w:numPr>
          <w:ilvl w:val="0"/>
          <w:numId w:val="17"/>
        </w:numPr>
      </w:pPr>
      <w:r>
        <w:rPr/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2022. — 290 с. — (Высшее образование). — ISBN 978-5-534-13102-4.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https://urait.ru/bcode/495480</w:t>
        </w:r>
      </w:hyperlink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Следственные действия: Криминалистические рекомендации. Типовые образцы документов / Под ред. В.А. Образцова; Сост. П.Т. Скорченко. - Москва: Юристъ, 1999. - 499 с.  32 экз.</w:t>
      </w:r>
    </w:p>
    <w:p>
      <w:pPr>
        <w:numPr>
          <w:ilvl w:val="0"/>
          <w:numId w:val="17"/>
        </w:numPr>
      </w:pPr>
      <w:r>
        <w:rPr/>
        <w:t xml:space="preserve">Фархутдинов, Р. Д. </w:t>
      </w:r>
      <w:r>
        <w:rPr/>
        <w:t xml:space="preserve"> Налоговое право : учебное пособие для вузов / Р. Д. Фархутдинов. — 2-е изд., перераб. и доп. — Москва : Издательство Юрайт, 2022. — 133 с. — (Высшее образование). — ISBN 978-5-534-15594-5.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https://urait.ru/bcode/509175</w:t>
        </w:r>
      </w:hyperlink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Электронный каталог Научной библиотеки ПетрГУ </w:t>
      </w:r>
      <w:hyperlink r:id="rId16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8"/>
        </w:numPr>
      </w:pPr>
      <w:r>
        <w:rPr/>
        <w:t xml:space="preserve">Электронной библиотеки Республики Карелия </w:t>
      </w:r>
      <w:hyperlink r:id="rId17" w:history="1">
        <w:r>
          <w:rPr/>
          <w:t xml:space="preserve">http://elibrary.karelia.ru/</w:t>
        </w:r>
      </w:hyperlink>
    </w:p>
    <w:p>
      <w:pPr>
        <w:numPr>
          <w:ilvl w:val="0"/>
          <w:numId w:val="18"/>
        </w:numPr>
      </w:pPr>
      <w:r>
        <w:rPr/>
        <w:t xml:space="preserve">Образовательная платформа "Юрайт" </w:t>
      </w:r>
      <w:hyperlink r:id="rId18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9" w:history="1">
        <w:r>
          <w:rPr/>
          <w:t xml:space="preserve">http://www.studentlibrary.ru</w:t>
        </w:r>
      </w:hyperlink>
    </w:p>
    <w:p>
      <w:pPr>
        <w:numPr>
          <w:ilvl w:val="0"/>
          <w:numId w:val="18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20" w:history="1">
        <w:r>
          <w:rPr/>
          <w:t xml:space="preserve">http://library.petrsu.ru/collections/bd.shtml   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99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7389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FBA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F48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DE1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9CD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086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F1B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6EF2E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276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948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528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346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7ED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B2F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61C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F1B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B778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4249" TargetMode="External"/><Relationship Id="rId8" Type="http://schemas.openxmlformats.org/officeDocument/2006/relationships/hyperlink" Target="https://urait.ru/bcode/494250" TargetMode="External"/><Relationship Id="rId9" Type="http://schemas.openxmlformats.org/officeDocument/2006/relationships/hyperlink" Target="https://urait.ru/bcode/470468" TargetMode="External"/><Relationship Id="rId10" Type="http://schemas.openxmlformats.org/officeDocument/2006/relationships/hyperlink" Target="https://urait.ru/bcode/470469" TargetMode="External"/><Relationship Id="rId11" Type="http://schemas.openxmlformats.org/officeDocument/2006/relationships/hyperlink" Target="https://urait.ru/bcode/488358" TargetMode="External"/><Relationship Id="rId12" Type="http://schemas.openxmlformats.org/officeDocument/2006/relationships/hyperlink" Target="https://urait.ru/bcode/498862" TargetMode="External"/><Relationship Id="rId13" Type="http://schemas.openxmlformats.org/officeDocument/2006/relationships/hyperlink" Target="https://urait.ru/bcode/508093" TargetMode="External"/><Relationship Id="rId14" Type="http://schemas.openxmlformats.org/officeDocument/2006/relationships/hyperlink" Target="https://urait.ru/bcode/495480" TargetMode="External"/><Relationship Id="rId15" Type="http://schemas.openxmlformats.org/officeDocument/2006/relationships/hyperlink" Target="https://urait.ru/bcode/509175" TargetMode="External"/><Relationship Id="rId16" Type="http://schemas.openxmlformats.org/officeDocument/2006/relationships/hyperlink" Target="http://foliant.ru/catalog/psulibr" TargetMode="External"/><Relationship Id="rId17" Type="http://schemas.openxmlformats.org/officeDocument/2006/relationships/hyperlink" Target="http://elibrary.karelia.ru/" TargetMode="External"/><Relationship Id="rId18" Type="http://schemas.openxmlformats.org/officeDocument/2006/relationships/hyperlink" Target="https://urait.ru/" TargetMode="External"/><Relationship Id="rId19" Type="http://schemas.openxmlformats.org/officeDocument/2006/relationships/hyperlink" Target="http://www.studentlibrary.ru" TargetMode="External"/><Relationship Id="rId20" Type="http://schemas.openxmlformats.org/officeDocument/2006/relationships/hyperlink" Target="http://library.petrsu.ru/collections/bd.shtml" TargetMode="External"/><Relationship Id="rId2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2026-04-21T09:12:05+03:00</dcterms:created>
  <dcterms:modified xsi:type="dcterms:W3CDTF">2026-04-21T09:12:05+03:00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