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основные фундаментальные положения математических и естественных наук;</w:t>
            </w:r>
          </w:p>
          <w:p/>
          <w:p>
            <w:pPr/>
            <w:r>
              <w:rPr/>
              <w:t xml:space="preserve">ОПК-1.2. Знать возможности применения информационно-коммуникационных технологий в сфере профессиональной деятельности;</w:t>
            </w:r>
          </w:p>
          <w:p/>
          <w:p>
            <w:pPr/>
            <w:r>
              <w:rPr/>
              <w:t xml:space="preserve">ОПК-1.3. Уметь использовать фундаментальные положения математических и естественных наук для определения параметров функционирования технологических процессов с применением информационно-коммуникационных технологий;</w:t>
            </w:r>
          </w:p>
          <w:p/>
          <w:p>
            <w:pPr/>
            <w:r>
              <w:rPr/>
              <w:t xml:space="preserve">ОПК-1.4. Владеть навыками комплексного анализа на основе применения фундаментальных знаний математических и естественных наук для решения типовых задач профессиональной деятельности, в том числе с применением информационно-коммуникационных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Инженерная графика,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Эксплуатация и технический сервис транспортно-технологических машин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7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7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7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1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AB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4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3A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A1E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6A7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8B1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B8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D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EC0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D0C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557B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2026-04-23T23:01:33+03:00</dcterms:created>
  <dcterms:modified xsi:type="dcterms:W3CDTF">2026-04-23T23:01:33+03:00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