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ИНФОРМАТИКА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23.03.03 Эксплуатация транспортно-технологических машин и комплексов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07.08.2020  г. № 916  (с изменениями от 27.02.2023 г. №208, от 19.07.2022 №662, от 08.02.2021 №83, от 26.11.2020 №1456) и учебным планом по направлению подготовки бакалавриата 23.03.03 Эксплуатация транспортно-технологических машин и комплексов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Панов Николай Геннадьевич, доцент, кафедра транспортных и технологических машин и оборудования; доцент, кафедра наук о Земле и геотехнологий; руководитель лаборатории, Научная лаборатория изучения свойств материалов, кандидат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ОПК-4.1. Знает основные понятия, определения и принципы работы, используемые в теории и практике применения информационно-коммуникационных технологий, информационные ресурсы и базы данных в профессиональной области;</w:t>
            </w:r>
          </w:p>
          <w:p/>
          <w:p>
            <w:pPr/>
            <w:r>
              <w:rPr/>
              <w:t xml:space="preserve">ОПК-4.2. Умеет применять прикладное программное обеспечение, программные средства для решения задач профессиональной деятельности;</w:t>
            </w:r>
          </w:p>
          <w:p/>
          <w:p>
            <w:pPr/>
            <w:r>
              <w:rPr/>
              <w:t xml:space="preserve">ОПК-4.3. Владеет навыками поиска, сбора, хранения, обработки информации на основе информационной культуры с применением информационно-коммуникационных технологий для решения стандартных задач профессиональной деятельности.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Информатика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Информатика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Прикладное применение программного обеспечения.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работа. Зачет.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информации. Свойства информации. Классификация информации. Информатика и информационная технология.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Единицы измерения информации. Подходы к измерению информации. Системы счисления. Количественное представление информации и единицы ее измерения. Состав вычислительной системы. Аппаратное обеспечение. Программное обеспечение. Базовое ПО. Системное ПО. Служебное ПО. Прикладное ПО. Классификация прикладных программных средств. Классификация служебных программных средств.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Microsoft Office. Основы работы с программой. Работа с текстом. Работа с графиками. макросы.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Microsoft Excel. Основы работы с программой. Работа с текстом. Работа с графиками. макросы.Форматирование текста. Работа с интерфейсом программы.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Math Cad. Основы работы с программой. Работа с графиками. Работа с интерфейсом программы. Основные функции программы. Применение функций на практике.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Kompas 3D. Основы работы с программой. Построение геометрических фигур. Работа с интерфейсом программы. Работа с чертежами. 3D моделирование.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Microsoft Office. Основы работы с программой. Работа с текстом. Работа с графиками. макросы.Форматирование текста. Работа с интерфейсом программы.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Microsoft Excel. Основы работы с программой. Работа с текстом. Работа с графиками. макросы.Форматирование текста. Работа с интерфейсом программы.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Math Cad. Основы работы с программой. Работа с графиками. Работа с интерфейсом программы. Основные функции программы. Применение функций на практике.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Kompas 3D. Основы работы с программой. Построение геометрических фигур. Работа с интерфейсом программы. Работа с чертежами. 3D моделирование.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Технологии в информационном обществе. Классификация информационных технологий управления. Сетевые технологии. Локальная сеть офиса. Глобальная компьютерная сеть Интернет.Прикладные программные комплексы для создания образовательных ресурсов. Интернет-ресурсы. Интернет-маркетинг.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Услуги Интернет. Использование средств компьютерной графики. Технология 3D. Информационные технологии для защиты информации и сведений.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Оргтехника для создания и обработки документов. Коммуникационные средства оргтехники. Технология телекоммуникации. Современные технические средства для печати и оперативного копирования документов. Презентационные средства оргтехники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Microsoft Office.  Форматирование текста. Работа с интерфейсом программы.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Microsoft Excel.Форматирование текста. Работа с интерфейсом программы.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Math Cad. Работа с интерфейсом программы. Основные функции программы. Применение функций на практике.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Kompas 3D.  Построение геометрических фигур.  Работа с чертежами. 3D моделирование.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соответствии с требованиями ФГОС ВО по реализации компетентностного подхода в ходе освоения дисциплины, наряду с лекционными и лабораторными занятиями, предусматривается использование инновационных форм проведения занятий, в частности модификация лекционной формы обучения с техническим оснащением типа визуализации с представлением в образной форме рисунков, схем, графиков в специализированных аудиториях ПетрГУ, оснащенных интерактивными досками и программным обеспечением. При таком подходе к обучению активизируется процесс понимания, усвоения, творческого применения знаний, усиливается мотивация и увлеченность обучающихся в решение обсуждаемых вопросов. Широко используется тестовый контроль текущей успеваемости на лекционных и лабораторных занятиях.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лабораторная работа.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Лабораторная работа</w:t>
      </w:r>
    </w:p>
    <w:p>
      <w:pPr/>
      <w:r>
        <w:rPr/>
        <w:t xml:space="preserve">Пример вариантов лабораторных работ в Microsoft Excel.</w:t>
      </w:r>
    </w:p>
    <w:p>
      <w:pPr/>
      <w:r>
        <w:rPr/>
        <w:t xml:space="preserve">Для выполнения следующего задания необходимо:</w:t>
      </w:r>
    </w:p>
    <w:p>
      <w:pPr>
        <w:numPr>
          <w:ilvl w:val="0"/>
          <w:numId w:val="1"/>
        </w:numPr>
      </w:pPr>
      <w:r>
        <w:rPr/>
        <w:t xml:space="preserve">На рабочем листе построить таблицу значений функции согласно варианту задания и ее график (см. ниже).</w:t>
      </w:r>
    </w:p>
    <w:p>
      <w:pPr>
        <w:numPr>
          <w:ilvl w:val="0"/>
          <w:numId w:val="1"/>
        </w:numPr>
      </w:pPr>
      <w:r>
        <w:rPr/>
        <w:t xml:space="preserve">Определить среднее , минимальное и максимальное значения функции (вывести эти данные на графике, используя команду </w:t>
      </w:r>
      <w:r>
        <w:rPr>
          <w:b w:val="1"/>
          <w:bCs w:val="1"/>
          <w:i w:val="1"/>
          <w:iCs w:val="1"/>
        </w:rPr>
        <w:t xml:space="preserve">Добавить данные</w:t>
      </w:r>
      <w:r>
        <w:rPr/>
        <w:t xml:space="preserve"> из меню </w:t>
      </w:r>
      <w:r>
        <w:rPr>
          <w:b w:val="1"/>
          <w:bCs w:val="1"/>
          <w:i w:val="1"/>
          <w:iCs w:val="1"/>
        </w:rPr>
        <w:t xml:space="preserve">Диаграмм)а.</w:t>
      </w:r>
    </w:p>
    <w:p>
      <w:pPr>
        <w:numPr>
          <w:ilvl w:val="0"/>
          <w:numId w:val="1"/>
        </w:numPr>
      </w:pPr>
      <w:r>
        <w:rPr/>
        <w:t xml:space="preserve">Используя логическую формулу, вычислить сумму, если среднее и максимальное значения имеют одинаковые знаки и произведение в противном случае.</w:t>
      </w:r>
    </w:p>
    <w:p>
      <w:pPr>
        <w:numPr>
          <w:ilvl w:val="0"/>
          <w:numId w:val="1"/>
        </w:numPr>
      </w:pPr>
      <w:r>
        <w:rPr/>
        <w:t xml:space="preserve">В произвольной ячейке сгенерировать случайное число. В таблице значений функции добавить еще один столбец, полученный умножением </w:t>
      </w:r>
      <w:r>
        <w:rPr>
          <w:b w:val="1"/>
          <w:bCs w:val="1"/>
          <w:i w:val="1"/>
          <w:iCs w:val="1"/>
        </w:rPr>
        <w:t xml:space="preserve">у </w:t>
      </w:r>
      <w:r>
        <w:rPr/>
        <w:t xml:space="preserve">на случайное число. Добавить на графике функции второй график, соответствующий полученному столбцу данных.</w:t>
      </w:r>
    </w:p>
    <w:p>
      <w:pPr/>
      <w:r>
        <w:rPr/>
        <w:t xml:space="preserve">Варианты заданий:</w:t>
      </w:r>
    </w:p>
    <w:p>
      <w:pPr>
        <w:numPr>
          <w:ilvl w:val="0"/>
          <w:numId w:val="2"/>
        </w:numPr>
      </w:pPr>
      <w:r>
        <w:rPr/>
        <w:t xml:space="preserve">y=cos</w:t>
      </w:r>
      <w:r>
        <w:rPr>
          <w:vertAlign w:val="superscript"/>
        </w:rPr>
        <w:t xml:space="preserve">2</w:t>
      </w:r>
      <w:r>
        <w:rPr/>
        <w:t xml:space="preserve"> (2x) + x -1=&lt;х=&lt;1.4, х=0.2 </w:t>
      </w:r>
    </w:p>
    <w:p>
      <w:pPr>
        <w:numPr>
          <w:ilvl w:val="0"/>
          <w:numId w:val="2"/>
        </w:numPr>
      </w:pPr>
      <w:r>
        <w:rPr/>
        <w:t xml:space="preserve">y= x * lg(x</w:t>
      </w:r>
      <w:r>
        <w:rPr>
          <w:vertAlign w:val="superscript"/>
        </w:rPr>
        <w:t xml:space="preserve">2</w:t>
      </w:r>
      <w:r>
        <w:rPr/>
        <w:t xml:space="preserve">)+ tg(3x) -10=&lt;x=&lt;10  x=l</w:t>
      </w:r>
    </w:p>
    <w:p>
      <w:pPr>
        <w:numPr>
          <w:ilvl w:val="0"/>
          <w:numId w:val="2"/>
        </w:numPr>
      </w:pPr>
      <w:r>
        <w:rPr/>
        <w:t xml:space="preserve">y=(x</w:t>
      </w:r>
      <w:r>
        <w:rPr>
          <w:vertAlign w:val="superscript"/>
        </w:rPr>
        <w:t xml:space="preserve">3</w:t>
      </w:r>
      <w:r>
        <w:rPr/>
        <w:t xml:space="preserve"> - cos(x</w:t>
      </w:r>
      <w:r>
        <w:rPr>
          <w:vertAlign w:val="superscript"/>
        </w:rPr>
        <w:t xml:space="preserve">2 </w:t>
      </w:r>
      <w:r>
        <w:rPr/>
        <w:t xml:space="preserve">)) – tgx -5=&lt;x=&lt;5 ,      x=0. 5</w:t>
      </w:r>
    </w:p>
    <w:p>
      <w:pPr>
        <w:numPr>
          <w:ilvl w:val="0"/>
          <w:numId w:val="2"/>
        </w:numPr>
      </w:pPr>
      <w:r>
        <w:rPr/>
        <w:t xml:space="preserve">y=(x+exp(x))^2+lnx -1.8=&lt;х=&lt;1.8 х =0.4</w:t>
      </w:r>
    </w:p>
    <w:p>
      <w:pPr>
        <w:numPr>
          <w:ilvl w:val="0"/>
          <w:numId w:val="2"/>
        </w:numPr>
      </w:pPr>
      <w:r>
        <w:rPr/>
        <w:t xml:space="preserve">y=x*cosx/(x+exp(x)) -5.2=&lt;х=&lt;1.5 х=0.7</w:t>
      </w:r>
    </w:p>
    <w:p>
      <w:pPr>
        <w:numPr>
          <w:ilvl w:val="0"/>
          <w:numId w:val="2"/>
        </w:numPr>
      </w:pPr>
      <w:r>
        <w:rPr/>
        <w:t xml:space="preserve">y=(lgx^2*exp^2x)/lg3x 1=&lt;х=&lt;100 х=5</w:t>
      </w:r>
    </w:p>
    <w:p>
      <w:pPr>
        <w:numPr>
          <w:ilvl w:val="0"/>
          <w:numId w:val="2"/>
        </w:numPr>
      </w:pPr>
      <w:r>
        <w:rPr/>
        <w:t xml:space="preserve">у=ехр^(х+2)+ 2^(2х)/(х+10) 1=&lt;х=&lt;50 х=2.5</w:t>
      </w:r>
    </w:p>
    <w:p>
      <w:pPr>
        <w:numPr>
          <w:ilvl w:val="0"/>
          <w:numId w:val="2"/>
        </w:numPr>
      </w:pPr>
      <w:r>
        <w:rPr/>
        <w:t xml:space="preserve">y=sin2x+tg3x+exp^4x -2.5=&lt;х=&lt;1.5 х=0.4</w:t>
      </w:r>
    </w:p>
    <w:p>
      <w:pPr>
        <w:numPr>
          <w:ilvl w:val="0"/>
          <w:numId w:val="2"/>
        </w:numPr>
      </w:pPr>
      <w:r>
        <w:rPr/>
        <w:t xml:space="preserve">y= l-sinx+ (ln2x+lgx) 1=&lt;х=&lt;10 х=0.5 </w:t>
      </w:r>
    </w:p>
    <w:p>
      <w:pPr>
        <w:numPr>
          <w:ilvl w:val="0"/>
          <w:numId w:val="2"/>
        </w:numPr>
      </w:pPr>
      <w:r>
        <w:rPr/>
        <w:t xml:space="preserve">y=x*expx+sinx*cosx^2 1=&lt;х=&lt;15 х=0.5 </w:t>
      </w:r>
    </w:p>
    <w:p>
      <w:pPr/>
      <w:r>
        <w:rPr/>
        <w:t xml:space="preserve">Критерий оценки:</w:t>
      </w:r>
    </w:p>
    <w:p>
      <w:pPr/>
      <w:r>
        <w:rPr>
          <w:b w:val="1"/>
          <w:bCs w:val="1"/>
        </w:rPr>
        <w:t xml:space="preserve">«Зачет» выставляется обучающемуся, если</w:t>
      </w:r>
      <w:r>
        <w:rPr/>
        <w:t xml:space="preserve"> он владеет знаниями предмета в полном объеме учебной программы, достаточно глубоко осмысливает дисциплину; самостоятельно, в логической последовательности и исчерпывающе отвечает на все вопросы, подчеркивает при этом самое существенное, умеет анализировать, сравнивать, классифицировать, обобщать, конкретизировать и систематизировать изученный материал, выделять в нем главное: устанавливать причинно-следственные связи; четко формирует ответы. Так же </w:t>
      </w:r>
      <w:r>
        <w:rPr>
          <w:b w:val="1"/>
          <w:bCs w:val="1"/>
        </w:rPr>
        <w:t xml:space="preserve">«зачет» выставляется обучающемуся, если</w:t>
      </w:r>
      <w:r>
        <w:rPr/>
        <w:t xml:space="preserve"> он владеет знаниями дисциплины в полном объеме программы; самостоятельно и отчасти при наводящих вопросах дает полноценные ответы на вопросы; не всегда выделяет наиболее существенное, не допускает вместе с тем серьезных ошибок в ответах. </w:t>
      </w:r>
      <w:r>
        <w:rPr>
          <w:b w:val="1"/>
          <w:bCs w:val="1"/>
        </w:rPr>
        <w:t xml:space="preserve">«Зачет» ставится только в том случае, если обучающийся сделал и защитил все виды лабораторных работ.</w:t>
      </w:r>
    </w:p>
    <w:p>
      <w:pPr/>
      <w:r>
        <w:rPr>
          <w:b w:val="1"/>
          <w:bCs w:val="1"/>
        </w:rPr>
        <w:t xml:space="preserve">«</w:t>
      </w:r>
      <w:r>
        <w:rPr>
          <w:b w:val="1"/>
          <w:bCs w:val="1"/>
          <w:i w:val="1"/>
          <w:iCs w:val="1"/>
        </w:rPr>
        <w:t xml:space="preserve">Не зачет</w:t>
      </w:r>
      <w:r>
        <w:rPr>
          <w:b w:val="1"/>
          <w:bCs w:val="1"/>
        </w:rPr>
        <w:t xml:space="preserve">» выставляется обучающемуся, если</w:t>
      </w:r>
      <w:r>
        <w:rPr/>
        <w:t xml:space="preserve"> он владеет основным объемом знаний по дисциплине; проявляет затруднения в самостоятельных ответах, оперирует неточными формулировками; в процессе ответов допускает ошибки по существу вопросов. Е</w:t>
      </w:r>
      <w:r>
        <w:rPr>
          <w:b w:val="1"/>
          <w:bCs w:val="1"/>
        </w:rPr>
        <w:t xml:space="preserve">сли</w:t>
      </w:r>
      <w:r>
        <w:rPr/>
        <w:t xml:space="preserve"> он не освоил обязательного минимума знаний предмета, не способен ответить на вопросы даже при дополнительных наводящих вопросах экзаменатора.</w:t>
      </w:r>
      <w:r>
        <w:rPr>
          <w:b w:val="1"/>
          <w:bCs w:val="1"/>
        </w:rPr>
        <w:t xml:space="preserve"> «Не зачет» ставится, если обучающийся не сделал и не защитил все виды лабораторных работ.</w:t>
      </w:r>
    </w:p>
    <w:p>
      <w:pPr/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Программа ориентирована на значительную роль самостоятельной работы, при этом вся учебная нагрузка разделена на аудиторную (42 час) и самостоятельную работу студента (30 часов). Перечень и краткое содержание этой работы студенты получают в начале семестра. Самостоятельная работа состоит в изучение ряда вопросов дисциплины, подготовке к защите лабораторных работ и сдаче зачета. При выполнении самостоятельной работы обучающиеся используют источники, приведенные в списке литературы.</w:t>
      </w:r>
    </w:p>
    <w:p>
      <w:pPr/>
      <w:r>
        <w:rPr/>
        <w:t xml:space="preserve">Лабораторные работы посвящены закреплению лекционного материала, решению прикладных инженерных задач в сфере программ Microsoft Office, Microsoft Excel, MathCad, Kompas 3D. В процессе выполнения этих работ приобретаются навыки моделирования технологических процессов. Варианты большинства лабораторных работ выдаются в начале семестра. При выполнении своего варианта, обучающийся должен проанализировать свои данные и указать их в выводе работы. Так же, при выполнении лабораторных работ обучающийся работает в прикладных программах, решает инженерные задачи  и строит 3d модели. Защита всех лабораторных работ проводится в течении второго  семестра, а так же в конце второго семестра перед началом летней сессии. Успешная защита отчета по лабораторным работам является необходимым условием допуска к зачету.</w:t>
      </w:r>
    </w:p>
    <w:p>
      <w:pPr/>
      <w:r>
        <w:rPr/>
        <w:t xml:space="preserve">Аудиторная нагрузка включает следующие виды занятий: лекции,  лабораторные работы. Лекции и практические занятия проходят с начала второго семестра еженедельно. Лабораторные занятия проходят с начала второго семестра и проводятся  в оборудованном компьютерном классе (пр. Ленина, 29).</w:t>
      </w:r>
    </w:p>
    <w:p>
      <w:pPr/>
      <w:r>
        <w:rPr/>
        <w:t xml:space="preserve">Экзамен по дисциплине проводится перед зимней сессией по билетам, сформированным на основании списка вопросов (представлены в ФОС).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Преподаватель при выполнении учебной нагрузки руководствуется данными, входящими в рабочую программу дисциплины. Аудиторная нагрузка включает следующие виды занятий: лекции,  лабораторные работы. Лекции  проходят с начала второго семестра еженедельно. В течение семестра проводится контроль посещаемости. Контроль проводится на каждой лекции.  Лабораторные занятия проходят с начала второго семестра и проводятся раз в две недели в оборудованном компьютерном классе (пр. Ленина, 29). В ходе выполнения лабораторных работ обучающимся выдаются варианты работ. В конце занятия по каждой проделанной работе представляется отчет. Выполнение всех лабораторных работ является необходимым условием допуска к зачету по дисциплине «Информатика в профессиональной деятельности».</w:t>
      </w:r>
    </w:p>
    <w:p>
      <w:pPr/>
      <w:r>
        <w:rPr/>
        <w:t xml:space="preserve">Лабораторные работы посвящены закреплению лекционного материала, решению прикладных инженерных задач в сфере программ Microsoft Office, Microsoft Excel, MathCad, Kompas 3D. В процессе выполнения этих работ приобретаются навыки моделирования технологических процессов. Варианты большинства лабораторных работ выдаются в начале семестра. При выполнении своего варианта, обучающийся должен проанализировать свои данные и указать их в выводе работы. Так же, при выполнении лабораторных работ обучающийся работает в прикладных программах, решает инженерные задачи  и строит 3d модели. Защита всех лабораторных работ проводится в течении второго  семестра, а так же в конце второго семестра перед началом летней сессии. Успешная защита отчета по лабораторным работам является необходимым условием допуска к экзамену.</w:t>
      </w:r>
    </w:p>
    <w:p>
      <w:pPr/>
      <w:r>
        <w:rPr/>
        <w:t xml:space="preserve">При выполнении самостоятельной работы студенты используют источники, приведенные в списке рекомендуемой литературы и Интернет-источники. Важным условием является организация и контроль самостоятельной работы студентов со стороны преподавателя и проверка знания материала при помощи своевременной защиты отчета по лабораторным работам.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Основы информатики [Текст] : учебное пособие / Е. А. Питухин, О. А. Зятева ; М-во образования и науки Российской Федерации, Федеральное гос. бюджетное образовательное учреждение высш. проф. образования Петрозаводский гос. ун-т. - Петрозаводск : Изд-во ПетрГУ, 2012. - 76 с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Кондратьев, Ю. Н. Машинная графика САПР КОМПАС-3D [Электронный ресурс] : лабораторный практикум / Ю. Н. Кондратьев, А. В. Питухин, В. М. Костюкевич ; Министерство образования и науки Российской Федерации, Федеральное государственное образовательное учреждение высшего профессионального образования Петрозаводский государственный университет. - Электронные текстовые данные. - Петрозаводск, 2014.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Кондратьев, Ю. Н. Система автоматизированного проектирования Компас-3D V11 : учебное пособие / Ю. Н. Кондратьев, А. В. Питухин, А. А. Шубин ; Министерство образования и науки Российской Федерации, Государственное образовательное учреждение высшего профессионального образования Петрозаводский государственный униврситет. - Петрозаводск : Издательство ПетрГУ, 2011. - 232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Для поиска учебной и научной литературы студенты используют следующие ЭБС:</w:t>
      </w:r>
    </w:p>
    <w:p>
      <w:pPr/>
      <w:r>
        <w:rPr/>
        <w:t xml:space="preserve">Электронный каталог Научной библиотеки ПетрГУ </w:t>
      </w:r>
      <w:hyperlink r:id="rId7" w:history="1">
        <w:r>
          <w:rPr/>
          <w:t xml:space="preserve">http://foliant.ru/catalog/psulibr</w:t>
        </w:r>
      </w:hyperlink>
      <w:r>
        <w:rPr/>
        <w:t xml:space="preserve">.</w:t>
      </w:r>
    </w:p>
    <w:p>
      <w:pPr/>
      <w:r>
        <w:rPr/>
        <w:t xml:space="preserve">Электронная библиотека Республики Карелия </w:t>
      </w:r>
      <w:hyperlink r:id="rId8" w:history="1">
        <w:r>
          <w:rPr/>
          <w:t xml:space="preserve">http://elibrary.karelia.ru/</w:t>
        </w:r>
      </w:hyperlink>
      <w:r>
        <w:rPr/>
        <w:t xml:space="preserve">.</w:t>
      </w:r>
    </w:p>
    <w:p>
      <w:pPr/>
      <w:r>
        <w:rPr/>
        <w:t xml:space="preserve">Электронная библиотечная система «Университетская библиотека онлайн» </w:t>
      </w:r>
      <w:hyperlink r:id="rId9" w:history="1">
        <w:r>
          <w:rPr/>
          <w:t xml:space="preserve">http://biblioclub.ru/</w:t>
        </w:r>
      </w:hyperlink>
      <w:r>
        <w:rPr/>
        <w:t xml:space="preserve">.</w:t>
      </w:r>
    </w:p>
    <w:p>
      <w:pPr/>
      <w:r>
        <w:rPr/>
        <w:t xml:space="preserve">Электронная библиотечная система «Консультант студента. Студенческая электронная библиотека» </w:t>
      </w:r>
      <w:hyperlink r:id="rId10" w:history="1">
        <w:r>
          <w:rPr/>
          <w:t xml:space="preserve">http://www.studentlibrary.ru</w:t>
        </w:r>
      </w:hyperlink>
      <w:r>
        <w:rPr/>
        <w:t xml:space="preserve">.</w:t>
      </w:r>
    </w:p>
    <w:p>
      <w:pPr/>
      <w:r>
        <w:rPr/>
        <w:t xml:space="preserve">Раздел «Электронные журналы и базы данных» (кроме ресурсов тестового доступа) на сайте Научной библиотеки ПетрГУ </w:t>
      </w:r>
      <w:hyperlink r:id="rId11" w:history="1">
        <w:r>
          <w:rPr/>
          <w:t xml:space="preserve">http://library.petrsu.ru/collections/bd.shtml</w:t>
        </w:r>
      </w:hyperlink>
      <w:r>
        <w:rPr/>
        <w:t xml:space="preserve">.</w:t>
      </w:r>
    </w:p>
    <w:p>
      <w:pPr/>
      <w:r>
        <w:rPr/>
        <w:t xml:space="preserve">Электронная библиотечная система «Большая научная библиотека» </w:t>
      </w:r>
      <w:hyperlink r:id="rId12" w:history="1">
        <w:r>
          <w:rPr/>
          <w:t xml:space="preserve">http://www.sci-lib.com</w:t>
        </w:r>
      </w:hyperlink>
      <w:r>
        <w:rPr/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Рабочая программа дисциплины «Информатика» для обучающихся по направлению подготовки бакалавриата 23.03.03 Эксплуатация транспортно-технологических машин и комплексов размещена на Образовательном портале ПетрГУ.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5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5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          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/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6"/>
        </w:numPr>
      </w:pPr>
      <w:r>
        <w:rPr/>
        <w:t xml:space="preserve">аудитория для проведения лекционных и практических занятий, оснащенная рабочими местами         для обучающихся и преподавателя, доской, мультимедийным оборудованием;</w:t>
      </w:r>
    </w:p>
    <w:p>
      <w:pPr>
        <w:numPr>
          <w:ilvl w:val="0"/>
          <w:numId w:val="6"/>
        </w:numPr>
      </w:pPr>
      <w:r>
        <w:rPr/>
        <w:t xml:space="preserve">библиотека с читальным залом и залом для самостоятельной работы         обучающегося, оснащенное компьютером с выходом в Интернет, книжный фонд которой составляет специализированная научная, учебная и методическая литература,         журналы (в печатном или электронном виде);</w:t>
      </w:r>
    </w:p>
    <w:p>
      <w:pPr/>
      <w:r>
        <w:rPr/>
        <w:t xml:space="preserve">Лабораторные занятия проходят с начала второго семестра и проводятся</w:t>
      </w:r>
      <w:r>
        <w:rPr/>
        <w:t xml:space="preserve"> </w:t>
      </w:r>
      <w:r>
        <w:rPr/>
        <w:t xml:space="preserve"> в оборудованном компьютерном классе (пр. Ленина, 29). Все программные продукты лицензионные.</w:t>
      </w:r>
    </w:p>
    <w:p>
      <w:pPr/>
      <w:r>
        <w:rPr/>
        <w:t xml:space="preserve">Номера лицензий:</w:t>
      </w:r>
    </w:p>
    <w:p>
      <w:pPr>
        <w:numPr>
          <w:ilvl w:val="0"/>
          <w:numId w:val="7"/>
        </w:numPr>
      </w:pPr>
      <w:r>
        <w:rPr/>
        <w:t xml:space="preserve">Microsoft</w:t>
      </w:r>
      <w:r>
        <w:rPr/>
        <w:t xml:space="preserve"> </w:t>
      </w:r>
      <w:r>
        <w:rPr/>
        <w:t xml:space="preserve">Office</w:t>
      </w:r>
      <w:r>
        <w:rPr/>
        <w:t xml:space="preserve">, </w:t>
      </w:r>
      <w:r>
        <w:rPr/>
        <w:t xml:space="preserve">Microsoft</w:t>
      </w:r>
      <w:r>
        <w:rPr/>
        <w:t xml:space="preserve"> </w:t>
      </w:r>
      <w:r>
        <w:rPr/>
        <w:t xml:space="preserve">Excel</w:t>
      </w:r>
      <w:r>
        <w:rPr/>
        <w:t xml:space="preserve"> - 47402538 от 13.09.2010.</w:t>
      </w:r>
    </w:p>
    <w:p>
      <w:pPr>
        <w:numPr>
          <w:ilvl w:val="0"/>
          <w:numId w:val="7"/>
        </w:numPr>
      </w:pPr>
      <w:r>
        <w:rPr/>
        <w:t xml:space="preserve"> MathCad </w:t>
      </w:r>
      <w:r>
        <w:rPr/>
        <w:t xml:space="preserve">Дата выдачи 10.01.2008,  лиц #401888 ( Service Contract Number 8A1451909, 8A1365719) серийный номер   SE14RYMMEV0002-FLEX-ACAD.</w:t>
      </w:r>
    </w:p>
    <w:p>
      <w:pPr>
        <w:numPr>
          <w:ilvl w:val="0"/>
          <w:numId w:val="7"/>
        </w:numPr>
      </w:pPr>
      <w:r>
        <w:rPr/>
        <w:t xml:space="preserve">Kompas</w:t>
      </w:r>
      <w:r>
        <w:rPr/>
        <w:t xml:space="preserve"> 3</w:t>
      </w:r>
      <w:r>
        <w:rPr/>
        <w:t xml:space="preserve">D</w:t>
      </w:r>
      <w:r>
        <w:rPr/>
        <w:t xml:space="preserve"> - номер: С3-13-00153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694E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65BB4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1124F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5DF8E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1B8D72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EED17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D6904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foliant.ru/catalog/psulibr" TargetMode="External"/><Relationship Id="rId8" Type="http://schemas.openxmlformats.org/officeDocument/2006/relationships/hyperlink" Target="http://elibrary.karelia.ru/" TargetMode="External"/><Relationship Id="rId9" Type="http://schemas.openxmlformats.org/officeDocument/2006/relationships/hyperlink" Target="http://biblioclub.ru/" TargetMode="External"/><Relationship Id="rId10" Type="http://schemas.openxmlformats.org/officeDocument/2006/relationships/hyperlink" Target="http://www.studentlibrary.ru" TargetMode="External"/><Relationship Id="rId11" Type="http://schemas.openxmlformats.org/officeDocument/2006/relationships/hyperlink" Target="http://library.petrsu.ru/collections/bd.shtml" TargetMode="External"/><Relationship Id="rId12" Type="http://schemas.openxmlformats.org/officeDocument/2006/relationships/hyperlink" Target="http://www.sci-lib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2026-04-23T15:29:26+03:00</dcterms:created>
  <dcterms:modified xsi:type="dcterms:W3CDTF">2026-04-23T15:29:26+03:00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